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framePr w:wrap="around" w:vAnchor="page" w:hAnchor="page" w:x="1351" w:y="651"/>
        <w:rPr>
          <w:rFonts w:hint="default" w:ascii="Times New Roman" w:eastAsiaTheme="minorEastAsia"/>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ICS</w:t>
      </w:r>
      <w:r>
        <w:rPr>
          <w:rFonts w:ascii="Times New Roman" w:eastAsiaTheme="minorEastAsia"/>
          <w:color w:val="000000" w:themeColor="text1"/>
          <w14:textFill>
            <w14:solidFill>
              <w14:schemeClr w14:val="tx1"/>
            </w14:solidFill>
          </w14:textFill>
        </w:rPr>
        <w:t xml:space="preserve"> </w:t>
      </w:r>
      <w:r>
        <w:rPr>
          <w:rFonts w:hint="eastAsia" w:ascii="Times New Roman" w:eastAsiaTheme="minorEastAsia"/>
          <w:color w:val="000000" w:themeColor="text1"/>
          <w:lang w:val="en-US" w:eastAsia="zh-CN"/>
          <w14:textFill>
            <w14:solidFill>
              <w14:schemeClr w14:val="tx1"/>
            </w14:solidFill>
          </w14:textFill>
        </w:rPr>
        <w:t>65.120</w:t>
      </w:r>
      <w:bookmarkStart w:id="25" w:name="_GoBack"/>
      <w:bookmarkEnd w:id="25"/>
    </w:p>
    <w:p>
      <w:pPr>
        <w:pStyle w:val="123"/>
        <w:framePr w:wrap="around" w:vAnchor="page" w:hAnchor="page" w:x="1351" w:y="651"/>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CCS </w:t>
      </w:r>
      <w:r>
        <w:rPr>
          <w:rFonts w:ascii="Times New Roman"/>
          <w:color w:val="000000" w:themeColor="text1"/>
          <w14:textFill>
            <w14:solidFill>
              <w14:schemeClr w14:val="tx1"/>
            </w14:solidFill>
          </w14:textFill>
        </w:rPr>
        <w:fldChar w:fldCharType="begin">
          <w:ffData>
            <w:enabled/>
            <w:calcOnExit w:val="0"/>
            <w:helpText w:type="text" w:val="请输入中国标准文献分类号："/>
            <w:textInput>
              <w:default w:val="X 04"/>
            </w:textInput>
          </w:ffData>
        </w:fldChar>
      </w:r>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X 04</w:t>
      </w:r>
      <w:r>
        <w:rPr>
          <w:rFonts w:ascii="Times New Roman"/>
          <w:color w:val="000000" w:themeColor="text1"/>
          <w14:textFill>
            <w14:solidFill>
              <w14:schemeClr w14:val="tx1"/>
            </w14:solidFill>
          </w14:textFill>
        </w:rPr>
        <w:fldChar w:fldCharType="end"/>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123"/>
              <w:framePr w:wrap="around" w:vAnchor="page" w:hAnchor="page" w:x="1351" w:y="651"/>
              <w:ind w:left="-103" w:leftChars="-50" w:hanging="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7620" b="6985"/>
                      <wp:wrapNone/>
                      <wp:docPr id="8"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4v7NUAAAAHAQAADwAAAAAA&#10;AAABACAAAAAiAAAAZHJzL2Rvd25yZXYueG1sUEsBAhQAFAAAAAgAh07iQDGh2i4WAgAAOQQAAA4A&#10;AAAAAAAAAQAgAAAAJAEAAGRycy9lMm9Eb2MueG1sUEsFBgAAAAAGAAYAWQEAAKwFAAAAAA==&#10;">
                      <v:fill on="t" focussize="0,0"/>
                      <v:stroke on="f"/>
                      <v:imagedata o:title=""/>
                      <o:lock v:ext="edit" aspectratio="f"/>
                      <v:textbox>
                        <w:txbxContent>
                          <w:p>
                            <w:pPr>
                              <w:jc w:val="center"/>
                            </w:pPr>
                          </w:p>
                        </w:txbxContent>
                      </v:textbox>
                    </v:rect>
                  </w:pict>
                </mc:Fallback>
              </mc:AlternateContent>
            </w:r>
          </w:p>
        </w:tc>
      </w:tr>
    </w:tbl>
    <w:p>
      <w:pPr>
        <w:pStyle w:val="66"/>
        <w:framePr w:wrap="around"/>
        <w:rPr>
          <w:color w:val="000000" w:themeColor="text1"/>
          <w14:textFill>
            <w14:solidFill>
              <w14:schemeClr w14:val="tx1"/>
            </w14:solidFill>
          </w14:textFill>
        </w:rPr>
      </w:pPr>
      <w:bookmarkStart w:id="0" w:name="c1"/>
      <w:r>
        <w:rPr>
          <w:color w:val="000000" w:themeColor="text1"/>
          <w14:textFill>
            <w14:solidFill>
              <w14:schemeClr w14:val="tx1"/>
            </w14:solidFill>
          </w14:textFill>
        </w:rPr>
        <w:fldChar w:fldCharType="begin">
          <w:ffData>
            <w:name w:val="c1"/>
            <w:enabled/>
            <w:calcOnExit w:val="0"/>
            <w:textInput>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NY</w:t>
      </w:r>
      <w:r>
        <w:rPr>
          <w:color w:val="000000" w:themeColor="text1"/>
          <w14:textFill>
            <w14:solidFill>
              <w14:schemeClr w14:val="tx1"/>
            </w14:solidFill>
          </w14:textFill>
        </w:rPr>
        <w:fldChar w:fldCharType="end"/>
      </w:r>
      <w:bookmarkEnd w:id="0"/>
    </w:p>
    <w:p>
      <w:pPr>
        <w:pStyle w:val="110"/>
        <w:framePr w:wrap="around"/>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中华人民共和国</w:t>
      </w:r>
      <w:bookmarkStart w:id="1" w:name="c2"/>
      <w:r>
        <w:rPr>
          <w:rFonts w:ascii="Times New Roman" w:hAnsi="Times New Roman"/>
          <w:color w:val="000000" w:themeColor="text1"/>
          <w14:textFill>
            <w14:solidFill>
              <w14:schemeClr w14:val="tx1"/>
            </w14:solidFill>
          </w14:textFill>
        </w:rPr>
        <w:fldChar w:fldCharType="begin">
          <w:ffData>
            <w:name w:val="c2"/>
            <w:enabled/>
            <w:calcOnExit w:val="0"/>
            <w:textInput/>
          </w:ffData>
        </w:fldChar>
      </w:r>
      <w:r>
        <w:rPr>
          <w:rFonts w:ascii="Times New Roman" w:hAnsi="Times New Roman"/>
          <w:color w:val="000000" w:themeColor="text1"/>
          <w14:textFill>
            <w14:solidFill>
              <w14:schemeClr w14:val="tx1"/>
            </w14:solidFill>
          </w14:textFill>
        </w:rPr>
        <w:instrText xml:space="preserve"> FORMTEXT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农业</w:t>
      </w:r>
      <w:r>
        <w:rPr>
          <w:rFonts w:ascii="Times New Roman" w:hAnsi="Times New Roman"/>
          <w:color w:val="000000" w:themeColor="text1"/>
          <w14:textFill>
            <w14:solidFill>
              <w14:schemeClr w14:val="tx1"/>
            </w14:solidFill>
          </w14:textFill>
        </w:rPr>
        <w:fldChar w:fldCharType="end"/>
      </w:r>
      <w:bookmarkEnd w:id="1"/>
      <w:r>
        <w:rPr>
          <w:rFonts w:ascii="Times New Roman" w:hAnsi="Times New Roman"/>
          <w:color w:val="000000" w:themeColor="text1"/>
          <w14:textFill>
            <w14:solidFill>
              <w14:schemeClr w14:val="tx1"/>
            </w14:solidFill>
          </w14:textFill>
        </w:rPr>
        <w:t>行业标准</w:t>
      </w:r>
    </w:p>
    <w:p>
      <w:pPr>
        <w:pStyle w:val="47"/>
        <w:framePr w:wrap="around"/>
        <w:rPr>
          <w:rFonts w:ascii="Times New Roman"/>
          <w:color w:val="000000" w:themeColor="text1"/>
          <w14:textFill>
            <w14:solidFill>
              <w14:schemeClr w14:val="tx1"/>
            </w14:solidFill>
          </w14:textFill>
        </w:rPr>
      </w:pPr>
      <w:bookmarkStart w:id="2" w:name="StdNo0"/>
      <w:r>
        <w:rPr>
          <w:rFonts w:ascii="Times New Roman"/>
          <w:color w:val="000000" w:themeColor="text1"/>
          <w14:textFill>
            <w14:solidFill>
              <w14:schemeClr w14:val="tx1"/>
            </w14:solidFill>
          </w14:textFill>
        </w:rPr>
        <w:fldChar w:fldCharType="begin">
          <w:ffData>
            <w:name w:val="StdNo0"/>
            <w:enabled/>
            <w:calcOnExit w:val="0"/>
            <w:textInput>
              <w:default w:val="XX"/>
              <w:maxLength w:val="2"/>
            </w:textInput>
          </w:ffData>
        </w:fldChar>
      </w:r>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NY</w:t>
      </w:r>
      <w:r>
        <w:rPr>
          <w:rFonts w:ascii="Times New Roman"/>
          <w:color w:val="000000" w:themeColor="text1"/>
          <w14:textFill>
            <w14:solidFill>
              <w14:schemeClr w14:val="tx1"/>
            </w14:solidFill>
          </w14:textFill>
        </w:rPr>
        <w:fldChar w:fldCharType="end"/>
      </w:r>
      <w:bookmarkEnd w:id="2"/>
      <w:r>
        <w:rPr>
          <w:rFonts w:ascii="Times New Roman"/>
          <w:color w:val="000000" w:themeColor="text1"/>
          <w14:textFill>
            <w14:solidFill>
              <w14:schemeClr w14:val="tx1"/>
            </w14:solidFill>
          </w14:textFill>
        </w:rPr>
        <w:t xml:space="preserve">/T </w:t>
      </w:r>
      <w:bookmarkStart w:id="3" w:name="StdNo1"/>
      <w:r>
        <w:rPr>
          <w:rFonts w:ascii="Times New Roman"/>
          <w:color w:val="000000" w:themeColor="text1"/>
          <w14:textFill>
            <w14:solidFill>
              <w14:schemeClr w14:val="tx1"/>
            </w14:solidFill>
          </w14:textFill>
        </w:rPr>
        <w:fldChar w:fldCharType="begin">
          <w:ffData>
            <w:name w:val="StdNo1"/>
            <w:enabled/>
            <w:calcOnExit w:val="0"/>
            <w:textInput>
              <w:default w:val="XXXXX"/>
            </w:textInput>
          </w:ffData>
        </w:fldChar>
      </w:r>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XXXXX</w:t>
      </w:r>
      <w:r>
        <w:rPr>
          <w:rFonts w:ascii="Times New Roman"/>
          <w:color w:val="000000" w:themeColor="text1"/>
          <w14:textFill>
            <w14:solidFill>
              <w14:schemeClr w14:val="tx1"/>
            </w14:solidFill>
          </w14:textFill>
        </w:rPr>
        <w:fldChar w:fldCharType="end"/>
      </w:r>
      <w:bookmarkEnd w:id="3"/>
      <w:r>
        <w:rPr>
          <w:rFonts w:ascii="Times New Roman"/>
          <w:color w:val="000000" w:themeColor="text1"/>
          <w14:textFill>
            <w14:solidFill>
              <w14:schemeClr w14:val="tx1"/>
            </w14:solidFill>
          </w14:textFill>
        </w:rPr>
        <w:t>—</w:t>
      </w:r>
      <w:bookmarkStart w:id="4" w:name="StdNo2"/>
      <w:r>
        <w:rPr>
          <w:rFonts w:ascii="Times New Roman"/>
          <w:color w:val="000000" w:themeColor="text1"/>
          <w14:textFill>
            <w14:solidFill>
              <w14:schemeClr w14:val="tx1"/>
            </w14:solidFill>
          </w14:textFill>
        </w:rPr>
        <w:fldChar w:fldCharType="begin">
          <w:ffData>
            <w:name w:val="StdNo2"/>
            <w:enabled/>
            <w:calcOnExit w:val="0"/>
            <w:textInput>
              <w:default w:val="XXXX"/>
              <w:maxLength w:val="4"/>
            </w:textInput>
          </w:ffData>
        </w:fldChar>
      </w:r>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XXXX</w:t>
      </w:r>
      <w:r>
        <w:rPr>
          <w:rFonts w:ascii="Times New Roman"/>
          <w:color w:val="000000" w:themeColor="text1"/>
          <w14:textFill>
            <w14:solidFill>
              <w14:schemeClr w14:val="tx1"/>
            </w14:solidFill>
          </w14:textFill>
        </w:rPr>
        <w:fldChar w:fldCharType="end"/>
      </w:r>
      <w:bookmarkEnd w:id="4"/>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6"/>
              <w:framePr w:wrap="around"/>
              <w:rPr>
                <w:rFonts w:ascii="Times New Roman"/>
                <w:color w:val="000000" w:themeColor="text1"/>
                <w14:textFill>
                  <w14:solidFill>
                    <w14:schemeClr w14:val="tx1"/>
                  </w14:solidFill>
                </w14:textFill>
              </w:rPr>
            </w:pPr>
            <w:bookmarkStart w:id="5" w:name="DT"/>
            <w:r>
              <w:rPr>
                <w:rFonts w:ascii="Times New Roman"/>
                <w:color w:val="000000" w:themeColor="text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1270" b="8890"/>
                      <wp:wrapNone/>
                      <wp:docPr id="4"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mDyy9YAAAAIAQAADwAAAAAAAAAB&#10;ACAAAAAiAAAAZHJzL2Rvd25yZXYueG1sUEsBAhQAFAAAAAgAh07iQLEqMpgSAgAAOQQAAA4AAAAA&#10;AAAAAQAgAAAAJQEAAGRycy9lMm9Eb2MueG1sUEsFBgAAAAAGAAYAWQEAAKkFAAAAAA==&#10;">
                      <v:fill on="t" focussize="0,0"/>
                      <v:stroke on="f"/>
                      <v:imagedata o:title=""/>
                      <o:lock v:ext="edit" aspectratio="f"/>
                      <v:textbox>
                        <w:txbxContent>
                          <w:p>
                            <w:pPr>
                              <w:jc w:val="center"/>
                            </w:pPr>
                          </w:p>
                        </w:txbxContent>
                      </v:textbox>
                    </v:rect>
                  </w:pict>
                </mc:Fallback>
              </mc:AlternateContent>
            </w:r>
            <w:r>
              <w:rPr>
                <w:rFonts w:ascii="Times New Roman"/>
                <w:color w:val="000000" w:themeColor="text1"/>
                <w14:textFill>
                  <w14:solidFill>
                    <w14:schemeClr w14:val="tx1"/>
                  </w14:solidFill>
                </w14:textFill>
              </w:rPr>
              <w:fldChar w:fldCharType="begin">
                <w:ffData>
                  <w:name w:val="DT"/>
                  <w:enabled/>
                  <w:calcOnExit w:val="0"/>
                  <w:textInput/>
                </w:ffData>
              </w:fldChar>
            </w:r>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     </w:t>
            </w:r>
            <w:r>
              <w:rPr>
                <w:rFonts w:ascii="Times New Roman"/>
                <w:color w:val="000000" w:themeColor="text1"/>
                <w14:textFill>
                  <w14:solidFill>
                    <w14:schemeClr w14:val="tx1"/>
                  </w14:solidFill>
                </w14:textFill>
              </w:rPr>
              <w:fldChar w:fldCharType="end"/>
            </w:r>
            <w:bookmarkEnd w:id="5"/>
          </w:p>
        </w:tc>
      </w:tr>
    </w:tbl>
    <w:p>
      <w:pPr>
        <w:pStyle w:val="47"/>
        <w:framePr w:wrap="around"/>
        <w:rPr>
          <w:rFonts w:ascii="Times New Roman"/>
          <w:color w:val="000000" w:themeColor="text1"/>
          <w14:textFill>
            <w14:solidFill>
              <w14:schemeClr w14:val="tx1"/>
            </w14:solidFill>
          </w14:textFill>
        </w:rPr>
      </w:pPr>
    </w:p>
    <w:p>
      <w:pPr>
        <w:pStyle w:val="47"/>
        <w:framePr w:wrap="around"/>
        <w:rPr>
          <w:rFonts w:ascii="Times New Roman"/>
          <w:color w:val="000000" w:themeColor="text1"/>
          <w14:textFill>
            <w14:solidFill>
              <w14:schemeClr w14:val="tx1"/>
            </w14:solidFill>
          </w14:textFill>
        </w:rPr>
      </w:pPr>
    </w:p>
    <w:p>
      <w:pPr>
        <w:pStyle w:val="78"/>
        <w:framePr w:wrap="around" w:x="1308" w:y="633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牛乳</w:t>
      </w:r>
      <w:r>
        <w:rPr>
          <w:rFonts w:ascii="Times New Roman"/>
          <w:color w:val="000000" w:themeColor="text1"/>
          <w14:textFill>
            <w14:solidFill>
              <w14:schemeClr w14:val="tx1"/>
            </w14:solidFill>
          </w14:textFill>
        </w:rPr>
        <w:t>及</w:t>
      </w:r>
      <w:r>
        <w:rPr>
          <w:rFonts w:hint="eastAsia" w:ascii="Times New Roman"/>
          <w:color w:val="000000" w:themeColor="text1"/>
          <w14:textFill>
            <w14:solidFill>
              <w14:schemeClr w14:val="tx1"/>
            </w14:solidFill>
          </w14:textFill>
        </w:rPr>
        <w:t>其</w:t>
      </w:r>
      <w:r>
        <w:rPr>
          <w:rFonts w:ascii="Times New Roman"/>
          <w:color w:val="000000" w:themeColor="text1"/>
          <w14:textFill>
            <w14:solidFill>
              <w14:schemeClr w14:val="tx1"/>
            </w14:solidFill>
          </w14:textFill>
        </w:rPr>
        <w:t>制品中α-乳白蛋白和β-乳球蛋白的测定</w:t>
      </w:r>
      <w:r>
        <w:rPr>
          <w:rFonts w:hint="eastAsia" w:ascii="Times New Roman"/>
          <w:color w:val="000000" w:themeColor="text1"/>
          <w14:textFill>
            <w14:solidFill>
              <w14:schemeClr w14:val="tx1"/>
            </w14:solidFill>
          </w14:textFill>
        </w:rPr>
        <w:t xml:space="preserve"> 高效液相色谱法</w:t>
      </w:r>
    </w:p>
    <w:p>
      <w:pPr>
        <w:pStyle w:val="79"/>
        <w:framePr w:wrap="around" w:x="1308" w:y="6339"/>
      </w:pPr>
      <w:bookmarkStart w:id="6" w:name="StdEnglishName"/>
      <w:r>
        <w:fldChar w:fldCharType="begin">
          <w:ffData>
            <w:name w:val="StdEnglishName"/>
            <w:enabled/>
            <w:calcOnExit w:val="0"/>
            <w:textInput>
              <w:default w:val="Determination of α-lactalbumin and β-lactoglobulin in milk and dairy products"/>
            </w:textInput>
          </w:ffData>
        </w:fldChar>
      </w:r>
      <w:r>
        <w:instrText xml:space="preserve"> FORMTEXT </w:instrText>
      </w:r>
      <w:r>
        <w:fldChar w:fldCharType="separate"/>
      </w:r>
      <w:r>
        <w:t>Determination of α-lactalbumin and β-lactoglobulin in milk and dairy products</w:t>
      </w:r>
      <w:r>
        <w:fldChar w:fldCharType="end"/>
      </w:r>
      <w:bookmarkEnd w:id="6"/>
    </w:p>
    <w:p>
      <w:pPr>
        <w:pStyle w:val="79"/>
        <w:framePr w:wrap="around" w:x="1308" w:y="6339"/>
      </w:pPr>
      <w:r>
        <w:rPr>
          <w:rFonts w:hint="eastAsia"/>
        </w:rPr>
        <w:t>-</w:t>
      </w:r>
      <w:r>
        <w:t xml:space="preserve">High performance </w:t>
      </w:r>
      <w:r>
        <w:rPr>
          <w:bCs/>
        </w:rPr>
        <w:t>liquid chromatography</w:t>
      </w:r>
    </w:p>
    <w:p>
      <w:pPr>
        <w:pStyle w:val="80"/>
        <w:framePr w:wrap="around" w:x="1308" w:y="6339"/>
        <w:rPr>
          <w:rFonts w:ascii="Times New Roman"/>
          <w:color w:val="000000" w:themeColor="text1"/>
          <w14:textFill>
            <w14:solidFill>
              <w14:schemeClr w14:val="tx1"/>
            </w14:solidFill>
          </w14:textFill>
        </w:rPr>
      </w:pPr>
      <w:bookmarkStart w:id="7" w:name="YZBS"/>
      <w:r>
        <w:rPr>
          <w:rFonts w:ascii="Times New Roman"/>
          <w:color w:val="000000" w:themeColor="text1"/>
          <w14:textFill>
            <w14:solidFill>
              <w14:schemeClr w14:val="tx1"/>
            </w14:solidFill>
          </w14:textFill>
        </w:rPr>
        <w:fldChar w:fldCharType="begin">
          <w:ffData>
            <w:name w:val="YZBS"/>
            <w:enabled/>
            <w:calcOnExit w:val="0"/>
            <w:textInput>
              <w:default w:val="点击此处添加与国际标准一致性程度的标识"/>
            </w:textInput>
          </w:ffData>
        </w:fldChar>
      </w:r>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点击此处添加与国际标准一致性程度的标识</w:t>
      </w:r>
      <w:r>
        <w:rPr>
          <w:rFonts w:ascii="Times New Roman"/>
          <w:color w:val="000000" w:themeColor="text1"/>
          <w14:textFill>
            <w14:solidFill>
              <w14:schemeClr w14:val="tx1"/>
            </w14:solidFill>
          </w14:textFill>
        </w:rPr>
        <w:fldChar w:fldCharType="end"/>
      </w:r>
      <w:bookmarkEnd w:id="7"/>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1"/>
              <w:framePr w:wrap="around" w:x="1308" w:y="633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5715" b="5080"/>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WJrpLVAAAACgEAAA8AAAAAAAAAAQAg&#10;AAAAIgAAAGRycy9kb3ducmV2LnhtbFBLAQIUABQAAAAIAIdO4kBxDxSNEQIAADkEAAAOAAAAAAAA&#10;AAEAIAAAACQBAABkcnMvZTJvRG9jLnhtbFBLBQYAAAAABgAGAFkBAACnBQAAAAA=&#10;">
                      <v:fill on="t" focussize="0,0"/>
                      <v:stroke on="f"/>
                      <v:imagedata o:title=""/>
                      <o:lock v:ext="edit" aspectratio="f"/>
                      <v:textbox>
                        <w:txbxContent>
                          <w:p>
                            <w:pPr>
                              <w:jc w:val="center"/>
                            </w:pPr>
                          </w:p>
                        </w:txbxContent>
                      </v:textbox>
                      <w10:anchorlock/>
                    </v:rect>
                  </w:pict>
                </mc:Fallback>
              </mc:AlternateContent>
            </w:r>
            <w:r>
              <w:rPr>
                <w:rFonts w:ascii="Times New Roman"/>
                <w:color w:val="000000" w:themeColor="text1"/>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3810" b="8255"/>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88gXPxECAAA5BAAADgAAAAAA&#10;AAABACAAAAAlAQAAZHJzL2Uyb0RvYy54bWxQSwUGAAAAAAYABgBZAQAAqAUAAAAA&#10;">
                      <v:fill on="t" focussize="0,0"/>
                      <v:stroke on="f"/>
                      <v:imagedata o:title=""/>
                      <o:lock v:ext="edit" aspectratio="f"/>
                      <v:textbox>
                        <w:txbxContent>
                          <w:p>
                            <w:pPr>
                              <w:jc w:val="center"/>
                            </w:pPr>
                          </w:p>
                        </w:txbxContent>
                      </v:textbox>
                    </v:rect>
                  </w:pict>
                </mc:Fallback>
              </mc:AlternateConten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征求意见稿</w:t>
            </w:r>
            <w:r>
              <w:rPr>
                <w:rFonts w:ascii="Times New Roman"/>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wrap="around" w:x="1308" w:y="633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fldChar w:fldCharType="begin">
                <w:ffData>
                  <w:name w:val="WCRQ"/>
                  <w:enabled/>
                  <w:calcOnExit w:val="0"/>
                  <w:textInput>
                    <w:default w:val="（本稿完成日期：2023.07）"/>
                  </w:textInput>
                </w:ffData>
              </w:fldChar>
            </w:r>
            <w:bookmarkStart w:id="8" w:name="WCRQ"/>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hint="eastAsia" w:ascii="Times New Roman"/>
                <w:color w:val="000000" w:themeColor="text1"/>
                <w14:textFill>
                  <w14:solidFill>
                    <w14:schemeClr w14:val="tx1"/>
                  </w14:solidFill>
                </w14:textFill>
              </w:rPr>
              <w:t>（本稿完成日期：2023.07）</w:t>
            </w:r>
            <w:r>
              <w:rPr>
                <w:rFonts w:ascii="Times New Roman"/>
                <w:color w:val="000000" w:themeColor="text1"/>
                <w14:textFill>
                  <w14:solidFill>
                    <w14:schemeClr w14:val="tx1"/>
                  </w14:solidFill>
                </w14:textFill>
              </w:rPr>
              <w:fldChar w:fldCharType="end"/>
            </w:r>
            <w:bookmarkEnd w:id="8"/>
          </w:p>
        </w:tc>
      </w:tr>
    </w:tbl>
    <w:p>
      <w:pPr>
        <w:pStyle w:val="130"/>
        <w:framePr w:wrap="around" w:hAnchor="page" w:x="1441" w:y="14057"/>
        <w:rPr>
          <w:color w:val="000000" w:themeColor="text1"/>
          <w14:textFill>
            <w14:solidFill>
              <w14:schemeClr w14:val="tx1"/>
            </w14:solidFill>
          </w14:textFill>
        </w:rPr>
      </w:pPr>
      <w:bookmarkStart w:id="9" w:name="FY"/>
      <w:r>
        <w:rPr>
          <w:color w:val="000000" w:themeColor="text1"/>
          <w14:textFill>
            <w14:solidFill>
              <w14:schemeClr w14:val="tx1"/>
            </w14:solidFill>
          </w14:textFill>
        </w:rPr>
        <w:fldChar w:fldCharType="begin">
          <w:ffData>
            <w:name w:val="FY"/>
            <w:enabled/>
            <w:calcOnExit w:val="0"/>
            <w:textInput>
              <w:default w:val="XXXX"/>
              <w:maxLength w:val="4"/>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9"/>
      <w:r>
        <w:rPr>
          <w:color w:val="000000" w:themeColor="text1"/>
          <w14:textFill>
            <w14:solidFill>
              <w14:schemeClr w14:val="tx1"/>
            </w14:solidFill>
          </w14:textFill>
        </w:rPr>
        <w:t xml:space="preserve"> - </w:t>
      </w:r>
      <w:r>
        <w:rPr>
          <w:color w:val="000000" w:themeColor="text1"/>
          <w14:textFill>
            <w14:solidFill>
              <w14:schemeClr w14:val="tx1"/>
            </w14:solidFill>
          </w14:textFill>
        </w:rPr>
        <w:fldChar w:fldCharType="begin">
          <w:ffData>
            <w:name w:val="FM"/>
            <w:enabled/>
            <w:calcOnExit w:val="0"/>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 </w:t>
      </w:r>
      <w:bookmarkStart w:id="10" w:name="FD"/>
      <w:r>
        <w:rPr>
          <w:color w:val="000000" w:themeColor="text1"/>
          <w14:textFill>
            <w14:solidFill>
              <w14:schemeClr w14:val="tx1"/>
            </w14:solidFill>
          </w14:textFill>
        </w:rPr>
        <w:fldChar w:fldCharType="begin">
          <w:ffData>
            <w:name w:val="FD"/>
            <w:enabled/>
            <w:calcOnExit w:val="0"/>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发布</w:t>
      </w:r>
    </w:p>
    <w:p>
      <w:pPr>
        <w:pStyle w:val="131"/>
        <w:framePr w:wrap="around" w:hAnchor="page" w:x="7137" w:y="14057"/>
        <w:rPr>
          <w:color w:val="000000" w:themeColor="text1"/>
          <w14:textFill>
            <w14:solidFill>
              <w14:schemeClr w14:val="tx1"/>
            </w14:solidFill>
          </w14:textFill>
        </w:rPr>
      </w:pPr>
      <w:bookmarkStart w:id="11" w:name="SY"/>
      <w:r>
        <w:rPr>
          <w:color w:val="000000" w:themeColor="text1"/>
          <w14:textFill>
            <w14:solidFill>
              <w14:schemeClr w14:val="tx1"/>
            </w14:solidFill>
          </w14:textFill>
        </w:rPr>
        <w:fldChar w:fldCharType="begin">
          <w:ffData>
            <w:name w:val="SY"/>
            <w:enabled/>
            <w:calcOnExit w:val="0"/>
            <w:textInput>
              <w:default w:val="XXXX"/>
              <w:maxLength w:val="4"/>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11"/>
      <w:r>
        <w:rPr>
          <w:color w:val="000000" w:themeColor="text1"/>
          <w14:textFill>
            <w14:solidFill>
              <w14:schemeClr w14:val="tx1"/>
            </w14:solidFill>
          </w14:textFill>
        </w:rPr>
        <w:t xml:space="preserve"> - </w:t>
      </w:r>
      <w:bookmarkStart w:id="12" w:name="SM"/>
      <w:r>
        <w:rPr>
          <w:color w:val="000000" w:themeColor="text1"/>
          <w14:textFill>
            <w14:solidFill>
              <w14:schemeClr w14:val="tx1"/>
            </w14:solidFill>
          </w14:textFill>
        </w:rPr>
        <w:fldChar w:fldCharType="begin">
          <w:ffData>
            <w:name w:val="SM"/>
            <w:enabled/>
            <w:calcOnExit w:val="0"/>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2"/>
      <w:r>
        <w:rPr>
          <w:color w:val="000000" w:themeColor="text1"/>
          <w14:textFill>
            <w14:solidFill>
              <w14:schemeClr w14:val="tx1"/>
            </w14:solidFill>
          </w14:textFill>
        </w:rPr>
        <w:t xml:space="preserve"> - </w:t>
      </w:r>
      <w:bookmarkStart w:id="13" w:name="SD"/>
      <w:r>
        <w:rPr>
          <w:color w:val="000000" w:themeColor="text1"/>
          <w14:textFill>
            <w14:solidFill>
              <w14:schemeClr w14:val="tx1"/>
            </w14:solidFill>
          </w14:textFill>
        </w:rPr>
        <w:fldChar w:fldCharType="begin">
          <w:ffData>
            <w:name w:val="SD"/>
            <w:enabled/>
            <w:calcOnExit w:val="0"/>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3"/>
      <w:r>
        <w:rPr>
          <w:color w:val="000000" w:themeColor="text1"/>
          <w14:textFill>
            <w14:solidFill>
              <w14:schemeClr w14:val="tx1"/>
            </w14:solidFill>
          </w14:textFill>
        </w:rPr>
        <w:t>实施</w:t>
      </w:r>
    </w:p>
    <w:p>
      <w:pPr>
        <w:pStyle w:val="111"/>
        <w:framePr w:wrap="around"/>
        <w:rPr>
          <w:rFonts w:ascii="Times New Roman"/>
          <w:color w:val="000000" w:themeColor="text1"/>
          <w14:textFill>
            <w14:solidFill>
              <w14:schemeClr w14:val="tx1"/>
            </w14:solidFill>
          </w14:textFill>
        </w:rPr>
      </w:pPr>
      <w:bookmarkStart w:id="14" w:name="fm"/>
      <w:r>
        <w:rPr>
          <w:rFonts w:ascii="Times New Roman"/>
          <w:color w:val="000000" w:themeColor="text1"/>
          <w14:textFill>
            <w14:solidFill>
              <w14:schemeClr w14:val="tx1"/>
            </w14:solidFill>
          </w14:textFill>
        </w:rPr>
        <w:fldChar w:fldCharType="begin">
          <w:ffData>
            <w:name w:val="fm"/>
            <w:enabled/>
            <w:calcOnExit w:val="0"/>
            <w:textInput/>
          </w:ffData>
        </w:fldChar>
      </w:r>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中华人民共和国农业农村部</w:t>
      </w:r>
      <w:r>
        <w:rPr>
          <w:rFonts w:ascii="Times New Roman"/>
          <w:color w:val="000000" w:themeColor="text1"/>
          <w14:textFill>
            <w14:solidFill>
              <w14:schemeClr w14:val="tx1"/>
            </w14:solidFill>
          </w14:textFill>
        </w:rPr>
        <w:fldChar w:fldCharType="end"/>
      </w:r>
      <w:bookmarkEnd w:id="14"/>
      <w:r>
        <w:rPr>
          <w:rFonts w:ascii="Times New Roman" w:eastAsia="MS Mincho"/>
          <w:color w:val="000000" w:themeColor="text1"/>
          <w14:textFill>
            <w14:solidFill>
              <w14:schemeClr w14:val="tx1"/>
            </w14:solidFill>
          </w14:textFill>
        </w:rPr>
        <w:t>   </w:t>
      </w:r>
      <w:r>
        <w:rPr>
          <w:rStyle w:val="73"/>
          <w:rFonts w:ascii="Times New Roman"/>
          <w:color w:val="000000" w:themeColor="text1"/>
          <w14:textFill>
            <w14:solidFill>
              <w14:schemeClr w14:val="tx1"/>
            </w14:solidFill>
          </w14:textFill>
        </w:rPr>
        <w:t>发布</w:t>
      </w:r>
    </w:p>
    <w:p>
      <w:pPr>
        <w:pStyle w:val="23"/>
        <w:rPr>
          <w:rFonts w:ascii="Times New Roman"/>
          <w:color w:val="000000" w:themeColor="text1"/>
          <w14:textFill>
            <w14:solidFill>
              <w14:schemeClr w14:val="tx1"/>
            </w14:solidFill>
          </w14:textFill>
        </w:rPr>
        <w:sectPr>
          <w:headerReference r:id="rId3" w:type="even"/>
          <w:footerReference r:id="rId4" w:type="even"/>
          <w:pgSz w:w="11906" w:h="16838"/>
          <w:pgMar w:top="567" w:right="850" w:bottom="1134" w:left="1418" w:header="0" w:footer="0" w:gutter="0"/>
          <w:pgNumType w:start="1"/>
          <w:cols w:space="425" w:num="1"/>
          <w:docGrid w:type="lines" w:linePitch="312" w:charSpace="0"/>
        </w:sectPr>
      </w:pPr>
      <w:r>
        <w:rPr>
          <w:rFonts w:asci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52070</wp:posOffset>
                </wp:positionH>
                <wp:positionV relativeFrom="paragraph">
                  <wp:posOffset>8942070</wp:posOffset>
                </wp:positionV>
                <wp:extent cx="6120130" cy="0"/>
                <wp:effectExtent l="0" t="0" r="0" b="0"/>
                <wp:wrapNone/>
                <wp:docPr id="9"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4.1pt;margin-top:704.1pt;height:0pt;width:481.9pt;z-index:251664384;mso-width-relative:page;mso-height-relative:page;" filled="f" stroked="t" coordsize="21600,21600" o:gfxdata="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S/Ts1QAAAAsBAAAPAAAAAAAAAAEAIAAAACIAAABkcnMv&#10;ZG93bnJldi54bWxQSwECFAAUAAAACACHTuJAxzSH8s0BAACuAwAADgAAAAAAAAABACAAAAAkAQAA&#10;ZHJzL2Uyb0RvYy54bWxQSwUGAAAAAAYABgBZAQAAYwUAAAAA&#10;">
                <v:fill on="f" focussize="0,0"/>
                <v:stroke color="#000000" joinstyle="round"/>
                <v:imagedata o:title=""/>
                <o:lock v:ext="edit" aspectratio="f"/>
              </v:line>
            </w:pict>
          </mc:Fallback>
        </mc:AlternateContent>
      </w:r>
      <w:r>
        <w:rPr>
          <w:rFonts w:ascii="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JB4l/XAAAACQEAAA8AAAAAAAAAAQAgAAAAIgAAAGRy&#10;cy9kb3ducmV2LnhtbFBLAQIUABQAAAAIAIdO4kAthLoJzQEAAK4DAAAOAAAAAAAAAAEAIAAAACYB&#10;AABkcnMvZTJvRG9jLnhtbFBLBQYAAAAABgAGAFkBAABlBQAAAAA=&#10;">
                <v:fill on="f" focussize="0,0"/>
                <v:stroke color="#000000" joinstyle="round"/>
                <v:imagedata o:title=""/>
                <o:lock v:ext="edit" aspectratio="f"/>
              </v:line>
            </w:pict>
          </mc:Fallback>
        </mc:AlternateContent>
      </w:r>
    </w:p>
    <w:p>
      <w:pPr>
        <w:pStyle w:val="112"/>
        <w:rPr>
          <w:rFonts w:ascii="Times New Roman"/>
          <w:color w:val="000000" w:themeColor="text1"/>
          <w14:textFill>
            <w14:solidFill>
              <w14:schemeClr w14:val="tx1"/>
            </w14:solidFill>
          </w14:textFill>
        </w:rPr>
      </w:pPr>
      <w:bookmarkStart w:id="15" w:name="_Toc364843279"/>
      <w:r>
        <w:rPr>
          <w:rFonts w:ascii="Times New Roman"/>
          <w:color w:val="000000" w:themeColor="text1"/>
          <w14:textFill>
            <w14:solidFill>
              <w14:schemeClr w14:val="tx1"/>
            </w14:solidFill>
          </w14:textFill>
        </w:rPr>
        <w:t>前</w:t>
      </w:r>
      <w:bookmarkStart w:id="16" w:name="BKQY"/>
      <w:r>
        <w:rPr>
          <w:rFonts w:ascii="Times New Roman"/>
          <w:color w:val="000000" w:themeColor="text1"/>
          <w14:textFill>
            <w14:solidFill>
              <w14:schemeClr w14:val="tx1"/>
            </w14:solidFill>
          </w14:textFill>
        </w:rPr>
        <w:t>   言</w:t>
      </w:r>
      <w:bookmarkEnd w:id="15"/>
      <w:bookmarkEnd w:id="16"/>
    </w:p>
    <w:p>
      <w:pPr>
        <w:pStyle w:val="23"/>
        <w:tabs>
          <w:tab w:val="right" w:leader="dot" w:pos="9354"/>
          <w:tab w:val="clear" w:pos="9298"/>
        </w:tabs>
        <w:spacing w:line="360" w:lineRule="auto"/>
        <w:ind w:firstLine="424" w:firstLineChars="20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本文件按照GB/T 1.1</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2020《标准化工作导则 第1部分：标准化文件的结构和起草规则》的规定起草。</w:t>
      </w:r>
    </w:p>
    <w:p>
      <w:pPr>
        <w:tabs>
          <w:tab w:val="right" w:leader="dot" w:pos="9354"/>
        </w:tabs>
        <w:spacing w:line="360" w:lineRule="auto"/>
        <w:ind w:right="560" w:firstLine="424" w:firstLineChars="202"/>
        <w:jc w:val="left"/>
        <w:rPr>
          <w:color w:val="000000" w:themeColor="text1"/>
          <w14:textFill>
            <w14:solidFill>
              <w14:schemeClr w14:val="tx1"/>
            </w14:solidFill>
          </w14:textFill>
        </w:rPr>
      </w:pPr>
      <w:r>
        <w:rPr>
          <w:color w:val="000000" w:themeColor="text1"/>
          <w14:textFill>
            <w14:solidFill>
              <w14:schemeClr w14:val="tx1"/>
            </w14:solidFill>
          </w14:textFill>
        </w:rPr>
        <w:t>请注意本文件的某些内容可能涉及专利。本文件的发布机构不承担识别专利的责任。</w:t>
      </w:r>
    </w:p>
    <w:p>
      <w:pPr>
        <w:tabs>
          <w:tab w:val="right" w:leader="dot" w:pos="9354"/>
        </w:tabs>
        <w:spacing w:line="360" w:lineRule="auto"/>
        <w:ind w:right="560" w:firstLine="424" w:firstLineChars="202"/>
        <w:jc w:val="left"/>
        <w:rPr>
          <w:color w:val="000000" w:themeColor="text1"/>
          <w14:textFill>
            <w14:solidFill>
              <w14:schemeClr w14:val="tx1"/>
            </w14:solidFill>
          </w14:textFill>
        </w:rPr>
      </w:pPr>
      <w:r>
        <w:rPr>
          <w:color w:val="000000" w:themeColor="text1"/>
          <w14:textFill>
            <w14:solidFill>
              <w14:schemeClr w14:val="tx1"/>
            </w14:solidFill>
          </w14:textFill>
        </w:rPr>
        <w:t>本文件由农业农村部畜牧兽医局提出。</w:t>
      </w:r>
    </w:p>
    <w:p>
      <w:pPr>
        <w:tabs>
          <w:tab w:val="right" w:leader="dot" w:pos="9354"/>
        </w:tabs>
        <w:spacing w:line="360" w:lineRule="auto"/>
        <w:ind w:right="560" w:firstLine="424" w:firstLineChars="202"/>
        <w:jc w:val="left"/>
        <w:rPr>
          <w:color w:val="000000" w:themeColor="text1"/>
          <w14:textFill>
            <w14:solidFill>
              <w14:schemeClr w14:val="tx1"/>
            </w14:solidFill>
          </w14:textFill>
        </w:rPr>
      </w:pPr>
      <w:r>
        <w:rPr>
          <w:color w:val="000000" w:themeColor="text1"/>
          <w14:textFill>
            <w14:solidFill>
              <w14:schemeClr w14:val="tx1"/>
            </w14:solidFill>
          </w14:textFill>
        </w:rPr>
        <w:t>本文件由全国畜牧业标准化技术委员会（SAC/TC 274）归口。</w:t>
      </w:r>
    </w:p>
    <w:p>
      <w:pPr>
        <w:tabs>
          <w:tab w:val="right" w:leader="dot" w:pos="9354"/>
        </w:tabs>
        <w:spacing w:line="360" w:lineRule="auto"/>
        <w:ind w:right="-2" w:firstLine="424" w:firstLineChars="202"/>
        <w:jc w:val="left"/>
        <w:rPr>
          <w:color w:val="000000" w:themeColor="text1"/>
          <w14:textFill>
            <w14:solidFill>
              <w14:schemeClr w14:val="tx1"/>
            </w14:solidFill>
          </w14:textFill>
        </w:rPr>
      </w:pPr>
      <w:r>
        <w:rPr>
          <w:color w:val="000000" w:themeColor="text1"/>
          <w14:textFill>
            <w14:solidFill>
              <w14:schemeClr w14:val="tx1"/>
            </w14:solidFill>
          </w14:textFill>
        </w:rPr>
        <w:t>本文件起草单位：</w:t>
      </w:r>
      <w:r>
        <w:rPr>
          <w:rFonts w:hint="eastAsia"/>
          <w:color w:val="000000" w:themeColor="text1"/>
          <w14:textFill>
            <w14:solidFill>
              <w14:schemeClr w14:val="tx1"/>
            </w14:solidFill>
          </w14:textFill>
        </w:rPr>
        <w:t>中国农业科学院北京畜牧兽医研究所、农业农村部奶产品质量安全风险评估实验室（北京）、农业农村部奶及奶制品质量监督检验测试中心（北京）、内蒙古智慧质量中心有限公司、黑龙江飞鹤乳业有限公司</w:t>
      </w:r>
      <w:r>
        <w:rPr>
          <w:color w:val="000000" w:themeColor="text1"/>
          <w14:textFill>
            <w14:solidFill>
              <w14:schemeClr w14:val="tx1"/>
            </w14:solidFill>
          </w14:textFill>
        </w:rPr>
        <w:t>。</w:t>
      </w:r>
    </w:p>
    <w:p>
      <w:pPr>
        <w:tabs>
          <w:tab w:val="right" w:leader="dot" w:pos="9354"/>
        </w:tabs>
        <w:spacing w:line="360" w:lineRule="auto"/>
        <w:ind w:firstLine="424" w:firstLineChars="202"/>
        <w:jc w:val="left"/>
        <w:rPr>
          <w:color w:val="000000" w:themeColor="text1"/>
          <w14:textFill>
            <w14:solidFill>
              <w14:schemeClr w14:val="tx1"/>
            </w14:solidFill>
          </w14:textFill>
        </w:rPr>
      </w:pPr>
      <w:r>
        <w:rPr>
          <w:color w:val="000000" w:themeColor="text1"/>
          <w14:textFill>
            <w14:solidFill>
              <w14:schemeClr w14:val="tx1"/>
            </w14:solidFill>
          </w14:textFill>
        </w:rPr>
        <w:t>本文件主要起草人：</w:t>
      </w:r>
      <w:r>
        <w:rPr>
          <w:rFonts w:hint="eastAsia"/>
          <w:color w:val="000000" w:themeColor="text1"/>
          <w:lang w:val="en-US" w:eastAsia="zh-CN"/>
          <w14:textFill>
            <w14:solidFill>
              <w14:schemeClr w14:val="tx1"/>
            </w14:solidFill>
          </w14:textFill>
        </w:rPr>
        <w:t>XXX</w:t>
      </w:r>
      <w:r>
        <w:rPr>
          <w:rFonts w:hint="eastAsia"/>
          <w:color w:val="000000" w:themeColor="text1"/>
          <w14:textFill>
            <w14:solidFill>
              <w14:schemeClr w14:val="tx1"/>
            </w14:solidFill>
          </w14:textFill>
        </w:rPr>
        <w:t>。</w:t>
      </w:r>
    </w:p>
    <w:p>
      <w:pPr>
        <w:pStyle w:val="23"/>
        <w:ind w:firstLine="0" w:firstLineChars="0"/>
        <w:rPr>
          <w:rFonts w:ascii="Times New Roman"/>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right"/>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headerReference r:id="rId5" w:type="default"/>
          <w:footerReference r:id="rId6" w:type="default"/>
          <w:pgSz w:w="11906" w:h="16838"/>
          <w:pgMar w:top="567" w:right="1134" w:bottom="1134" w:left="1418" w:header="1418" w:footer="1134" w:gutter="0"/>
          <w:pgNumType w:start="1"/>
          <w:cols w:space="425" w:num="1"/>
          <w:formProt w:val="0"/>
          <w:docGrid w:type="lines" w:linePitch="312" w:charSpace="0"/>
        </w:sectPr>
      </w:pPr>
    </w:p>
    <w:p>
      <w:pPr>
        <w:spacing w:line="360" w:lineRule="auto"/>
        <w:ind w:right="-328" w:rightChars="-156"/>
        <w:jc w:val="center"/>
        <w:rPr>
          <w:rFonts w:eastAsia="黑体"/>
          <w:color w:val="000000" w:themeColor="text1"/>
          <w:sz w:val="36"/>
          <w:szCs w:val="36"/>
          <w14:textFill>
            <w14:solidFill>
              <w14:schemeClr w14:val="tx1"/>
            </w14:solidFill>
          </w14:textFill>
        </w:rPr>
      </w:pPr>
      <w:r>
        <w:rPr>
          <w:rFonts w:hint="eastAsia" w:eastAsia="黑体"/>
          <w:color w:val="000000" w:themeColor="text1"/>
          <w:sz w:val="32"/>
          <w:szCs w:val="32"/>
          <w14:textFill>
            <w14:solidFill>
              <w14:schemeClr w14:val="tx1"/>
            </w14:solidFill>
          </w14:textFill>
        </w:rPr>
        <w:t>牛乳</w:t>
      </w:r>
      <w:r>
        <w:rPr>
          <w:rFonts w:eastAsia="黑体"/>
          <w:color w:val="000000" w:themeColor="text1"/>
          <w:sz w:val="32"/>
          <w:szCs w:val="32"/>
          <w14:textFill>
            <w14:solidFill>
              <w14:schemeClr w14:val="tx1"/>
            </w14:solidFill>
          </w14:textFill>
        </w:rPr>
        <w:t>及</w:t>
      </w:r>
      <w:r>
        <w:rPr>
          <w:rFonts w:hint="eastAsia" w:eastAsia="黑体"/>
          <w:color w:val="000000" w:themeColor="text1"/>
          <w:sz w:val="32"/>
          <w:szCs w:val="32"/>
          <w14:textFill>
            <w14:solidFill>
              <w14:schemeClr w14:val="tx1"/>
            </w14:solidFill>
          </w14:textFill>
        </w:rPr>
        <w:t>其</w:t>
      </w:r>
      <w:r>
        <w:rPr>
          <w:rFonts w:eastAsia="黑体"/>
          <w:color w:val="000000" w:themeColor="text1"/>
          <w:sz w:val="32"/>
          <w:szCs w:val="32"/>
          <w14:textFill>
            <w14:solidFill>
              <w14:schemeClr w14:val="tx1"/>
            </w14:solidFill>
          </w14:textFill>
        </w:rPr>
        <w:t>制品中α-乳白蛋白和β-乳球蛋白的测定</w:t>
      </w:r>
      <w:r>
        <w:rPr>
          <w:rFonts w:hint="eastAsia" w:eastAsia="黑体"/>
          <w:color w:val="000000" w:themeColor="text1"/>
          <w:sz w:val="32"/>
          <w:szCs w:val="32"/>
          <w14:textFill>
            <w14:solidFill>
              <w14:schemeClr w14:val="tx1"/>
            </w14:solidFill>
          </w14:textFill>
        </w:rPr>
        <w:t xml:space="preserve"> 高效液相色谱法</w:t>
      </w:r>
    </w:p>
    <w:p>
      <w:pPr>
        <w:pStyle w:val="45"/>
        <w:spacing w:before="312" w:after="312"/>
        <w:rPr>
          <w:rFonts w:ascii="Times New Roman"/>
          <w:color w:val="000000" w:themeColor="text1"/>
          <w14:textFill>
            <w14:solidFill>
              <w14:schemeClr w14:val="tx1"/>
            </w14:solidFill>
          </w14:textFill>
        </w:rPr>
      </w:pPr>
      <w:bookmarkStart w:id="17" w:name="_Toc364843280"/>
      <w:r>
        <w:rPr>
          <w:rFonts w:ascii="Times New Roman"/>
          <w:color w:val="000000" w:themeColor="text1"/>
          <w14:textFill>
            <w14:solidFill>
              <w14:schemeClr w14:val="tx1"/>
            </w14:solidFill>
          </w14:textFill>
        </w:rPr>
        <w:t>范围</w:t>
      </w:r>
      <w:bookmarkEnd w:id="17"/>
    </w:p>
    <w:p>
      <w:pPr>
        <w:spacing w:line="360" w:lineRule="auto"/>
        <w:ind w:right="28"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本文件</w:t>
      </w:r>
      <w:r>
        <w:rPr>
          <w:rFonts w:hint="eastAsia"/>
          <w:color w:val="000000" w:themeColor="text1"/>
          <w14:textFill>
            <w14:solidFill>
              <w14:schemeClr w14:val="tx1"/>
            </w14:solidFill>
          </w14:textFill>
        </w:rPr>
        <w:t>描述</w:t>
      </w:r>
      <w:r>
        <w:rPr>
          <w:color w:val="000000" w:themeColor="text1"/>
          <w14:textFill>
            <w14:solidFill>
              <w14:schemeClr w14:val="tx1"/>
            </w14:solidFill>
          </w14:textFill>
        </w:rPr>
        <w:t>了</w:t>
      </w:r>
      <w:r>
        <w:rPr>
          <w:rFonts w:hint="eastAsia"/>
          <w:color w:val="000000" w:themeColor="text1"/>
          <w14:textFill>
            <w14:solidFill>
              <w14:schemeClr w14:val="tx1"/>
            </w14:solidFill>
          </w14:textFill>
        </w:rPr>
        <w:t>牛乳</w:t>
      </w:r>
      <w:r>
        <w:rPr>
          <w:color w:val="000000" w:themeColor="text1"/>
          <w14:textFill>
            <w14:solidFill>
              <w14:schemeClr w14:val="tx1"/>
            </w14:solidFill>
          </w14:textFill>
        </w:rPr>
        <w:t>及</w:t>
      </w:r>
      <w:r>
        <w:rPr>
          <w:rFonts w:hint="eastAsia"/>
          <w:color w:val="000000" w:themeColor="text1"/>
          <w14:textFill>
            <w14:solidFill>
              <w14:schemeClr w14:val="tx1"/>
            </w14:solidFill>
          </w14:textFill>
        </w:rPr>
        <w:t>其</w:t>
      </w:r>
      <w:r>
        <w:rPr>
          <w:color w:val="000000" w:themeColor="text1"/>
          <w14:textFill>
            <w14:solidFill>
              <w14:schemeClr w14:val="tx1"/>
            </w14:solidFill>
          </w14:textFill>
        </w:rPr>
        <w:t>制品中α-乳白蛋白和β-乳球</w:t>
      </w:r>
      <w:r>
        <w:t>蛋白测定</w:t>
      </w:r>
      <w:r>
        <w:rPr>
          <w:rFonts w:hint="eastAsia"/>
        </w:rPr>
        <w:t>的高效液相色谱</w:t>
      </w:r>
      <w:r>
        <w:t>方法</w:t>
      </w:r>
      <w:r>
        <w:rPr>
          <w:color w:val="000000" w:themeColor="text1"/>
          <w14:textFill>
            <w14:solidFill>
              <w14:schemeClr w14:val="tx1"/>
            </w14:solidFill>
          </w14:textFill>
        </w:rPr>
        <w:t>。</w:t>
      </w:r>
    </w:p>
    <w:p>
      <w:pPr>
        <w:spacing w:line="360" w:lineRule="auto"/>
        <w:ind w:right="28"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本文件第一法适用于生牛乳和巴氏杀菌牛乳中α-乳白蛋白和β-乳球蛋白的测定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第二法适用于高温杀菌牛乳、灭菌牛乳</w:t>
      </w:r>
      <w:r>
        <w:rPr>
          <w:rFonts w:hint="eastAsia"/>
          <w:color w:val="000000" w:themeColor="text1"/>
          <w14:textFill>
            <w14:solidFill>
              <w14:schemeClr w14:val="tx1"/>
            </w14:solidFill>
          </w14:textFill>
        </w:rPr>
        <w:t>、牛乳粉和牛乳基婴幼儿配方乳粉</w:t>
      </w:r>
      <w:r>
        <w:rPr>
          <w:color w:val="000000" w:themeColor="text1"/>
          <w14:textFill>
            <w14:solidFill>
              <w14:schemeClr w14:val="tx1"/>
            </w14:solidFill>
          </w14:textFill>
        </w:rPr>
        <w:t>中α-乳白蛋白和β-乳球蛋白的测定。</w:t>
      </w:r>
    </w:p>
    <w:p>
      <w:pPr>
        <w:spacing w:line="360" w:lineRule="auto"/>
        <w:ind w:right="28"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本文件生牛乳和巴氏杀菌牛乳中α-乳白蛋白定量限为25 mg/kg</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β-乳球蛋白定量限为100 mg/kg；高温杀菌牛乳和灭菌牛乳中α-乳白蛋白定量限为50 mg/kg</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β-乳球蛋白定量限为100 mg/kg；</w:t>
      </w:r>
      <w:r>
        <w:rPr>
          <w:rFonts w:hint="eastAsia"/>
          <w:color w:val="000000" w:themeColor="text1"/>
          <w14:textFill>
            <w14:solidFill>
              <w14:schemeClr w14:val="tx1"/>
            </w14:solidFill>
          </w14:textFill>
        </w:rPr>
        <w:t>牛乳粉</w:t>
      </w:r>
      <w:r>
        <w:rPr>
          <w:color w:val="000000" w:themeColor="text1"/>
          <w14:textFill>
            <w14:solidFill>
              <w14:schemeClr w14:val="tx1"/>
            </w14:solidFill>
          </w14:textFill>
        </w:rPr>
        <w:t>中α-乳白蛋白定量限为250 mg/kg</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β-乳球蛋白定量限为500 mg/kg</w:t>
      </w:r>
      <w:r>
        <w:rPr>
          <w:rFonts w:hint="eastAsia"/>
          <w:color w:val="000000" w:themeColor="text1"/>
          <w14:textFill>
            <w14:solidFill>
              <w14:schemeClr w14:val="tx1"/>
            </w14:solidFill>
          </w14:textFill>
        </w:rPr>
        <w:t>。</w:t>
      </w:r>
    </w:p>
    <w:p>
      <w:pPr>
        <w:spacing w:line="360" w:lineRule="auto"/>
        <w:ind w:right="28"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注：本文件仅适用于未变性的</w:t>
      </w:r>
      <w:r>
        <w:rPr>
          <w:color w:val="000000" w:themeColor="text1"/>
          <w14:textFill>
            <w14:solidFill>
              <w14:schemeClr w14:val="tx1"/>
            </w14:solidFill>
          </w14:textFill>
        </w:rPr>
        <w:t>α-乳白蛋白和β-乳球蛋白的测定</w:t>
      </w:r>
      <w:r>
        <w:rPr>
          <w:rFonts w:hint="eastAsia"/>
          <w:color w:val="000000" w:themeColor="text1"/>
          <w14:textFill>
            <w14:solidFill>
              <w14:schemeClr w14:val="tx1"/>
            </w14:solidFill>
          </w14:textFill>
        </w:rPr>
        <w:t>。</w:t>
      </w:r>
    </w:p>
    <w:p>
      <w:pPr>
        <w:pStyle w:val="45"/>
        <w:spacing w:before="312" w:after="312"/>
        <w:rPr>
          <w:rFonts w:ascii="Times New Roman"/>
          <w:color w:val="000000" w:themeColor="text1"/>
          <w14:textFill>
            <w14:solidFill>
              <w14:schemeClr w14:val="tx1"/>
            </w14:solidFill>
          </w14:textFill>
        </w:rPr>
      </w:pPr>
      <w:bookmarkStart w:id="18" w:name="_Toc364843281"/>
      <w:r>
        <w:rPr>
          <w:rFonts w:ascii="Times New Roman"/>
          <w:color w:val="000000" w:themeColor="text1"/>
          <w14:textFill>
            <w14:solidFill>
              <w14:schemeClr w14:val="tx1"/>
            </w14:solidFill>
          </w14:textFill>
        </w:rPr>
        <w:t>规范性引用文件</w:t>
      </w:r>
      <w:bookmarkEnd w:id="18"/>
    </w:p>
    <w:p>
      <w:pPr>
        <w:spacing w:line="360" w:lineRule="auto"/>
        <w:ind w:right="28"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autoSpaceDE w:val="0"/>
        <w:autoSpaceDN w:val="0"/>
        <w:spacing w:line="300" w:lineRule="auto"/>
        <w:ind w:firstLine="440" w:firstLineChars="200"/>
        <w:textAlignment w:val="bottom"/>
        <w:rPr>
          <w:color w:val="000000" w:themeColor="text1"/>
          <w:spacing w:val="5"/>
          <w14:textFill>
            <w14:solidFill>
              <w14:schemeClr w14:val="tx1"/>
            </w14:solidFill>
          </w14:textFill>
        </w:rPr>
      </w:pPr>
      <w:bookmarkStart w:id="19" w:name="_Toc364843283"/>
      <w:bookmarkEnd w:id="19"/>
      <w:bookmarkStart w:id="20" w:name="_Hlk512694936"/>
      <w:r>
        <w:rPr>
          <w:color w:val="000000" w:themeColor="text1"/>
          <w:spacing w:val="5"/>
          <w14:textFill>
            <w14:solidFill>
              <w14:schemeClr w14:val="tx1"/>
            </w14:solidFill>
          </w14:textFill>
        </w:rPr>
        <w:t>GB/T 6682  分析实验室用水规格和试验方法</w:t>
      </w:r>
    </w:p>
    <w:p>
      <w:pPr>
        <w:pStyle w:val="45"/>
        <w:spacing w:before="312" w:after="31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术语和定义</w:t>
      </w:r>
    </w:p>
    <w:p>
      <w:pPr>
        <w:pStyle w:val="23"/>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本文件没有需要界定的术语和定义。</w:t>
      </w:r>
    </w:p>
    <w:p>
      <w:pPr>
        <w:pStyle w:val="45"/>
        <w:numPr>
          <w:ilvl w:val="0"/>
          <w:numId w:val="0"/>
        </w:numPr>
        <w:spacing w:before="312" w:after="312"/>
        <w:jc w:val="center"/>
        <w:rPr>
          <w:rFonts w:ascii="Times New Roman"/>
          <w:color w:val="000000" w:themeColor="text1"/>
          <w:lang w:val="zh-CN"/>
          <w14:textFill>
            <w14:solidFill>
              <w14:schemeClr w14:val="tx1"/>
            </w14:solidFill>
          </w14:textFill>
        </w:rPr>
      </w:pPr>
      <w:r>
        <w:rPr>
          <w:rFonts w:ascii="Times New Roman"/>
          <w:color w:val="000000" w:themeColor="text1"/>
          <w:sz w:val="24"/>
          <w:szCs w:val="24"/>
          <w14:textFill>
            <w14:solidFill>
              <w14:schemeClr w14:val="tx1"/>
            </w14:solidFill>
          </w14:textFill>
        </w:rPr>
        <w:t>第一法 反相液相色谱法</w:t>
      </w:r>
    </w:p>
    <w:bookmarkEnd w:id="20"/>
    <w:p>
      <w:pPr>
        <w:pStyle w:val="45"/>
        <w:spacing w:before="312" w:after="31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原理</w:t>
      </w:r>
    </w:p>
    <w:p>
      <w:pPr>
        <w:spacing w:line="360" w:lineRule="auto"/>
        <w:ind w:right="28"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试样</w:t>
      </w:r>
      <w:r>
        <w:rPr>
          <w:rFonts w:hint="eastAsia"/>
          <w:color w:val="000000" w:themeColor="text1"/>
          <w14:textFill>
            <w14:solidFill>
              <w14:schemeClr w14:val="tx1"/>
            </w14:solidFill>
          </w14:textFill>
        </w:rPr>
        <w:t>用水溶解</w:t>
      </w:r>
      <w:r>
        <w:rPr>
          <w:color w:val="000000" w:themeColor="text1"/>
          <w14:textFill>
            <w14:solidFill>
              <w14:schemeClr w14:val="tx1"/>
            </w14:solidFill>
          </w14:textFill>
        </w:rPr>
        <w:t>调节pH至4.60，使酪蛋白和变性的乳清蛋白沉淀，未变性的α-乳白蛋白和β-乳球蛋白仍保留在溶液中，离心后</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反相</w:t>
      </w:r>
      <w:r>
        <w:rPr>
          <w:rFonts w:hint="eastAsia"/>
          <w:color w:val="000000" w:themeColor="text1"/>
          <w14:textFill>
            <w14:solidFill>
              <w14:schemeClr w14:val="tx1"/>
            </w14:solidFill>
          </w14:textFill>
        </w:rPr>
        <w:t>色谱</w:t>
      </w:r>
      <w:r>
        <w:rPr>
          <w:color w:val="000000" w:themeColor="text1"/>
          <w14:textFill>
            <w14:solidFill>
              <w14:schemeClr w14:val="tx1"/>
            </w14:solidFill>
          </w14:textFill>
        </w:rPr>
        <w:t>柱分离，</w:t>
      </w:r>
      <w:r>
        <w:rPr>
          <w:rFonts w:hint="eastAsia"/>
          <w:color w:val="000000" w:themeColor="text1"/>
          <w14:textFill>
            <w14:solidFill>
              <w14:schemeClr w14:val="tx1"/>
            </w14:solidFill>
          </w14:textFill>
        </w:rPr>
        <w:t>高效液相色谱测定</w:t>
      </w:r>
      <w:r>
        <w:rPr>
          <w:color w:val="000000" w:themeColor="text1"/>
          <w14:textFill>
            <w14:solidFill>
              <w14:schemeClr w14:val="tx1"/>
            </w14:solidFill>
          </w14:textFill>
        </w:rPr>
        <w:t>，外标法定量。</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 xml:space="preserve">试剂或材料                                                                                                                                                                                                                                                                                                                                                                                                                                                                                                                                                                                                                                                                                                                                                                                                                                                                                                                                                                                                                                                                                                                                                                                                                                                                                                                                                                                                                                                                                                                                                                                                                                                                                                                                                                                                                                                                                                                                                                                                                                                                                                                                                                                                                                                                                                                                                                                                                                                                                                                                                                                                                                                                                                                                                                                                                                                                                                                                                                                                                                                                                                                                                                                                                                                                                                                                                                                                                                                                                                                                                                                                                                                                                                                                                                                                                                                                                                                                                                                                                                                                                                                                                                                                           </w:t>
      </w:r>
      <w:r>
        <w:rPr>
          <w:rFonts w:ascii="Times New Roman"/>
          <w:color w:val="000000" w:themeColor="text1"/>
          <w:szCs w:val="22"/>
          <w14:textFill>
            <w14:solidFill>
              <w14:schemeClr w14:val="tx1"/>
            </w14:solidFill>
          </w14:textFill>
        </w:rPr>
        <w:t xml:space="preserve">                                                                                                                                                                                                                                                                                                                                                                                                                                                                                                                                                                                                                                                                                                                                                                                                                                                                           </w:t>
      </w:r>
    </w:p>
    <w:p>
      <w:pPr>
        <w:spacing w:line="360" w:lineRule="auto"/>
        <w:ind w:right="28"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除非另有说明，仅使用分析纯试剂</w:t>
      </w:r>
      <w:r>
        <w:rPr>
          <w:rFonts w:hint="eastAsia"/>
          <w:color w:val="000000" w:themeColor="text1"/>
          <w14:textFill>
            <w14:solidFill>
              <w14:schemeClr w14:val="tx1"/>
            </w14:solidFill>
          </w14:textFill>
        </w:rPr>
        <w:t>。</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color w:val="000000" w:themeColor="text1"/>
          <w:szCs w:val="31"/>
          <w14:textFill>
            <w14:solidFill>
              <w14:schemeClr w14:val="tx1"/>
            </w14:solidFill>
          </w14:textFill>
        </w:rPr>
        <w:t>水，GB/T 6682，</w:t>
      </w:r>
      <w:r>
        <w:rPr>
          <w:rFonts w:hint="eastAsia"/>
          <w:color w:val="000000" w:themeColor="text1"/>
          <w:szCs w:val="31"/>
          <w14:textFill>
            <w14:solidFill>
              <w14:schemeClr w14:val="tx1"/>
            </w14:solidFill>
          </w14:textFill>
        </w:rPr>
        <w:t>一级。</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三氟乙酸：色谱纯。</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乙酸：优级纯。</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乙腈：色谱纯。</w:t>
      </w:r>
    </w:p>
    <w:p>
      <w:pPr>
        <w:numPr>
          <w:ilvl w:val="1"/>
          <w:numId w:val="2"/>
        </w:numPr>
        <w:tabs>
          <w:tab w:val="left" w:pos="0"/>
        </w:tabs>
        <w:spacing w:line="300" w:lineRule="auto"/>
        <w:outlineLvl w:val="2"/>
        <w:rPr>
          <w:color w:val="000000" w:themeColor="text1"/>
          <w:szCs w:val="31"/>
          <w14:textFill>
            <w14:solidFill>
              <w14:schemeClr w14:val="tx1"/>
            </w14:solidFill>
          </w14:textFill>
        </w:rPr>
      </w:pPr>
      <w:bookmarkStart w:id="21" w:name="_Hlk12990475"/>
      <w:r>
        <w:rPr>
          <w:color w:val="000000" w:themeColor="text1"/>
          <w:szCs w:val="31"/>
          <w14:textFill>
            <w14:solidFill>
              <w14:schemeClr w14:val="tx1"/>
            </w14:solidFill>
          </w14:textFill>
        </w:rPr>
        <w:t>三氟乙酸溶液</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0.1%</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w:t>
      </w:r>
      <w:r>
        <w:rPr>
          <w:rFonts w:hint="eastAsia"/>
          <w:color w:val="000000" w:themeColor="text1"/>
          <w:szCs w:val="31"/>
          <w14:textFill>
            <w14:solidFill>
              <w14:schemeClr w14:val="tx1"/>
            </w14:solidFill>
          </w14:textFill>
        </w:rPr>
        <w:t>准确移取</w:t>
      </w:r>
      <w:r>
        <w:rPr>
          <w:color w:val="000000" w:themeColor="text1"/>
          <w:szCs w:val="31"/>
          <w14:textFill>
            <w14:solidFill>
              <w14:schemeClr w14:val="tx1"/>
            </w14:solidFill>
          </w14:textFill>
        </w:rPr>
        <w:t>1 mL三氟乙酸（</w:t>
      </w:r>
      <w:r>
        <w:rPr>
          <w:rFonts w:hint="eastAsia"/>
          <w:color w:val="000000" w:themeColor="text1"/>
          <w:szCs w:val="31"/>
          <w14:textFill>
            <w14:solidFill>
              <w14:schemeClr w14:val="tx1"/>
            </w14:solidFill>
          </w14:textFill>
        </w:rPr>
        <w:t>5</w:t>
      </w:r>
      <w:r>
        <w:rPr>
          <w:color w:val="000000" w:themeColor="text1"/>
          <w:szCs w:val="31"/>
          <w14:textFill>
            <w14:solidFill>
              <w14:schemeClr w14:val="tx1"/>
            </w14:solidFill>
          </w14:textFill>
        </w:rPr>
        <w:t>.2），用水定容至1 L，混匀</w:t>
      </w:r>
      <w:r>
        <w:rPr>
          <w:rFonts w:hint="eastAsia"/>
          <w:color w:val="000000" w:themeColor="text1"/>
          <w:szCs w:val="31"/>
          <w14:textFill>
            <w14:solidFill>
              <w14:schemeClr w14:val="tx1"/>
            </w14:solidFill>
          </w14:textFill>
        </w:rPr>
        <w:t>，现用现配。</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color w:val="000000" w:themeColor="text1"/>
          <w:szCs w:val="31"/>
          <w14:textFill>
            <w14:solidFill>
              <w14:schemeClr w14:val="tx1"/>
            </w14:solidFill>
          </w14:textFill>
        </w:rPr>
        <w:t>三氟乙酸乙腈溶液</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0.1%</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w:t>
      </w:r>
      <w:r>
        <w:rPr>
          <w:rFonts w:hint="eastAsia"/>
          <w:color w:val="000000" w:themeColor="text1"/>
          <w:szCs w:val="31"/>
          <w14:textFill>
            <w14:solidFill>
              <w14:schemeClr w14:val="tx1"/>
            </w14:solidFill>
          </w14:textFill>
        </w:rPr>
        <w:t>准确移取</w:t>
      </w:r>
      <w:r>
        <w:rPr>
          <w:color w:val="000000" w:themeColor="text1"/>
          <w:szCs w:val="31"/>
          <w14:textFill>
            <w14:solidFill>
              <w14:schemeClr w14:val="tx1"/>
            </w14:solidFill>
          </w14:textFill>
        </w:rPr>
        <w:t>1 mL三氟乙酸（</w:t>
      </w:r>
      <w:r>
        <w:rPr>
          <w:rFonts w:hint="eastAsia"/>
          <w:color w:val="000000" w:themeColor="text1"/>
          <w:szCs w:val="31"/>
          <w14:textFill>
            <w14:solidFill>
              <w14:schemeClr w14:val="tx1"/>
            </w14:solidFill>
          </w14:textFill>
        </w:rPr>
        <w:t>5</w:t>
      </w:r>
      <w:r>
        <w:rPr>
          <w:color w:val="000000" w:themeColor="text1"/>
          <w:szCs w:val="31"/>
          <w14:textFill>
            <w14:solidFill>
              <w14:schemeClr w14:val="tx1"/>
            </w14:solidFill>
          </w14:textFill>
        </w:rPr>
        <w:t>.2），用乙腈（</w:t>
      </w:r>
      <w:r>
        <w:rPr>
          <w:rFonts w:hint="eastAsia"/>
          <w:color w:val="000000" w:themeColor="text1"/>
          <w:szCs w:val="31"/>
          <w14:textFill>
            <w14:solidFill>
              <w14:schemeClr w14:val="tx1"/>
            </w14:solidFill>
          </w14:textFill>
        </w:rPr>
        <w:t>5</w:t>
      </w:r>
      <w:r>
        <w:rPr>
          <w:color w:val="000000" w:themeColor="text1"/>
          <w:szCs w:val="31"/>
          <w14:textFill>
            <w14:solidFill>
              <w14:schemeClr w14:val="tx1"/>
            </w14:solidFill>
          </w14:textFill>
        </w:rPr>
        <w:t>.4）定容至1 L，混匀</w:t>
      </w:r>
      <w:r>
        <w:rPr>
          <w:rFonts w:hint="eastAsia"/>
          <w:color w:val="000000" w:themeColor="text1"/>
          <w:szCs w:val="31"/>
          <w14:textFill>
            <w14:solidFill>
              <w14:schemeClr w14:val="tx1"/>
            </w14:solidFill>
          </w14:textFill>
        </w:rPr>
        <w:t>，临用现配</w:t>
      </w:r>
      <w:r>
        <w:rPr>
          <w:color w:val="000000" w:themeColor="text1"/>
          <w:szCs w:val="31"/>
          <w14:textFill>
            <w14:solidFill>
              <w14:schemeClr w14:val="tx1"/>
            </w14:solidFill>
          </w14:textFill>
        </w:rPr>
        <w:t>。</w:t>
      </w:r>
      <w:bookmarkEnd w:id="21"/>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混合</w:t>
      </w:r>
      <w:r>
        <w:rPr>
          <w:color w:val="000000" w:themeColor="text1"/>
          <w:szCs w:val="31"/>
          <w14:textFill>
            <w14:solidFill>
              <w14:schemeClr w14:val="tx1"/>
            </w14:solidFill>
          </w14:textFill>
        </w:rPr>
        <w:t>标准储备溶液（10 mg/mL）：</w:t>
      </w:r>
      <w:r>
        <w:rPr>
          <w:rFonts w:hint="eastAsia"/>
          <w:color w:val="000000" w:themeColor="text1"/>
          <w:szCs w:val="31"/>
          <w14:textFill>
            <w14:solidFill>
              <w14:schemeClr w14:val="tx1"/>
            </w14:solidFill>
          </w14:textFill>
        </w:rPr>
        <w:t>准确称取</w:t>
      </w:r>
      <w:r>
        <w:rPr>
          <w:color w:val="000000" w:themeColor="text1"/>
          <w:szCs w:val="31"/>
          <w14:textFill>
            <w14:solidFill>
              <w14:schemeClr w14:val="tx1"/>
            </w14:solidFill>
          </w14:textFill>
        </w:rPr>
        <w:t>α-乳白蛋白</w:t>
      </w:r>
      <w:r>
        <w:rPr>
          <w:rFonts w:hint="eastAsia"/>
          <w:color w:val="000000" w:themeColor="text1"/>
          <w:szCs w:val="31"/>
          <w14:textFill>
            <w14:solidFill>
              <w14:schemeClr w14:val="tx1"/>
            </w14:solidFill>
          </w14:textFill>
        </w:rPr>
        <w:t>标准品（</w:t>
      </w:r>
      <w:r>
        <w:rPr>
          <w:color w:val="000000" w:themeColor="text1"/>
          <w:szCs w:val="31"/>
          <w14:textFill>
            <w14:solidFill>
              <w14:schemeClr w14:val="tx1"/>
            </w14:solidFill>
          </w14:textFill>
        </w:rPr>
        <w:t>CAS号</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9051-29-0</w:t>
      </w:r>
      <w:r>
        <w:rPr>
          <w:rFonts w:hint="eastAsia"/>
          <w:color w:val="000000" w:themeColor="text1"/>
          <w:szCs w:val="31"/>
          <w14:textFill>
            <w14:solidFill>
              <w14:schemeClr w14:val="tx1"/>
            </w14:solidFill>
          </w14:textFill>
        </w:rPr>
        <w:t>，纯度≥</w:t>
      </w:r>
      <w:r>
        <w:rPr>
          <w:color w:val="000000" w:themeColor="text1"/>
          <w:szCs w:val="31"/>
          <w14:textFill>
            <w14:solidFill>
              <w14:schemeClr w14:val="tx1"/>
            </w14:solidFill>
          </w14:textFill>
        </w:rPr>
        <w:t>99</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5%</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和β-乳球蛋白</w:t>
      </w:r>
      <w:r>
        <w:rPr>
          <w:rFonts w:hint="eastAsia"/>
          <w:color w:val="000000" w:themeColor="text1"/>
          <w:szCs w:val="31"/>
          <w14:textFill>
            <w14:solidFill>
              <w14:schemeClr w14:val="tx1"/>
            </w14:solidFill>
          </w14:textFill>
        </w:rPr>
        <w:t>标准品（</w:t>
      </w:r>
      <w:r>
        <w:rPr>
          <w:color w:val="000000" w:themeColor="text1"/>
          <w:szCs w:val="31"/>
          <w14:textFill>
            <w14:solidFill>
              <w14:schemeClr w14:val="tx1"/>
            </w14:solidFill>
          </w14:textFill>
        </w:rPr>
        <w:t>CAS号</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9045-23-2</w:t>
      </w:r>
      <w:r>
        <w:rPr>
          <w:rFonts w:hint="eastAsia"/>
          <w:color w:val="000000" w:themeColor="text1"/>
          <w:szCs w:val="31"/>
          <w14:textFill>
            <w14:solidFill>
              <w14:schemeClr w14:val="tx1"/>
            </w14:solidFill>
          </w14:textFill>
        </w:rPr>
        <w:t>，纯度≥</w:t>
      </w:r>
      <w:r>
        <w:rPr>
          <w:color w:val="000000" w:themeColor="text1"/>
          <w:szCs w:val="31"/>
          <w14:textFill>
            <w14:solidFill>
              <w14:schemeClr w14:val="tx1"/>
            </w14:solidFill>
          </w14:textFill>
        </w:rPr>
        <w:t>97.2%</w:t>
      </w:r>
      <w:r>
        <w:rPr>
          <w:rFonts w:hint="eastAsia"/>
          <w:color w:val="000000" w:themeColor="text1"/>
          <w:szCs w:val="31"/>
          <w14:textFill>
            <w14:solidFill>
              <w14:schemeClr w14:val="tx1"/>
            </w14:solidFill>
          </w14:textFill>
        </w:rPr>
        <w:t>）各1</w:t>
      </w:r>
      <w:r>
        <w:rPr>
          <w:color w:val="000000" w:themeColor="text1"/>
          <w:szCs w:val="31"/>
          <w14:textFill>
            <w14:solidFill>
              <w14:schemeClr w14:val="tx1"/>
            </w14:solidFill>
          </w14:textFill>
        </w:rPr>
        <w:t>00mg</w:t>
      </w:r>
      <w:r>
        <w:rPr>
          <w:rFonts w:hint="eastAsia"/>
          <w:color w:val="000000" w:themeColor="text1"/>
          <w:szCs w:val="31"/>
          <w14:textFill>
            <w14:solidFill>
              <w14:schemeClr w14:val="tx1"/>
            </w14:solidFill>
          </w14:textFill>
        </w:rPr>
        <w:t>（精确至0</w:t>
      </w:r>
      <w:r>
        <w:rPr>
          <w:color w:val="000000" w:themeColor="text1"/>
          <w:szCs w:val="31"/>
          <w14:textFill>
            <w14:solidFill>
              <w14:schemeClr w14:val="tx1"/>
            </w14:solidFill>
          </w14:textFill>
        </w:rPr>
        <w:t>.01 mg</w:t>
      </w:r>
      <w:r>
        <w:rPr>
          <w:rFonts w:hint="eastAsia"/>
          <w:color w:val="000000" w:themeColor="text1"/>
          <w:szCs w:val="31"/>
          <w14:textFill>
            <w14:solidFill>
              <w14:schemeClr w14:val="tx1"/>
            </w14:solidFill>
          </w14:textFill>
        </w:rPr>
        <w:t>）于1</w:t>
      </w:r>
      <w:r>
        <w:rPr>
          <w:color w:val="000000" w:themeColor="text1"/>
          <w:szCs w:val="31"/>
          <w14:textFill>
            <w14:solidFill>
              <w14:schemeClr w14:val="tx1"/>
            </w14:solidFill>
          </w14:textFill>
        </w:rPr>
        <w:t>0</w:t>
      </w:r>
      <w:r>
        <w:rPr>
          <w:rFonts w:hint="eastAsia"/>
          <w:color w:val="000000" w:themeColor="text1"/>
          <w:szCs w:val="31"/>
          <w14:textFill>
            <w14:solidFill>
              <w14:schemeClr w14:val="tx1"/>
            </w14:solidFill>
          </w14:textFill>
        </w:rPr>
        <w:t>mL容量瓶中，</w:t>
      </w:r>
      <w:r>
        <w:rPr>
          <w:color w:val="000000" w:themeColor="text1"/>
          <w:szCs w:val="31"/>
          <w14:textFill>
            <w14:solidFill>
              <w14:schemeClr w14:val="tx1"/>
            </w14:solidFill>
          </w14:textFill>
        </w:rPr>
        <w:t>用水</w:t>
      </w:r>
      <w:r>
        <w:rPr>
          <w:rFonts w:hint="eastAsia"/>
          <w:color w:val="000000" w:themeColor="text1"/>
          <w:szCs w:val="31"/>
          <w14:textFill>
            <w14:solidFill>
              <w14:schemeClr w14:val="tx1"/>
            </w14:solidFill>
          </w14:textFill>
        </w:rPr>
        <w:t>稀释并</w:t>
      </w:r>
      <w:r>
        <w:rPr>
          <w:color w:val="000000" w:themeColor="text1"/>
          <w:szCs w:val="31"/>
          <w14:textFill>
            <w14:solidFill>
              <w14:schemeClr w14:val="tx1"/>
            </w14:solidFill>
          </w14:textFill>
        </w:rPr>
        <w:t>定容</w:t>
      </w:r>
      <w:r>
        <w:rPr>
          <w:rFonts w:hint="eastAsia"/>
          <w:color w:val="000000" w:themeColor="text1"/>
          <w:szCs w:val="31"/>
          <w14:textFill>
            <w14:solidFill>
              <w14:schemeClr w14:val="tx1"/>
            </w14:solidFill>
          </w14:textFill>
        </w:rPr>
        <w:t>，混匀</w:t>
      </w:r>
      <w:r>
        <w:rPr>
          <w:color w:val="000000" w:themeColor="text1"/>
          <w:szCs w:val="31"/>
          <w14:textFill>
            <w14:solidFill>
              <w14:schemeClr w14:val="tx1"/>
            </w14:solidFill>
          </w14:textFill>
        </w:rPr>
        <w:t>。</w:t>
      </w:r>
      <w:bookmarkStart w:id="22" w:name="_Hlk12991539"/>
      <w:r>
        <w:rPr>
          <w:color w:val="000000" w:themeColor="text1"/>
          <w:szCs w:val="31"/>
          <w14:textFill>
            <w14:solidFill>
              <w14:schemeClr w14:val="tx1"/>
            </w14:solidFill>
          </w14:textFill>
        </w:rPr>
        <w:t>于-20 ºC</w:t>
      </w:r>
      <w:r>
        <w:rPr>
          <w:rFonts w:hint="eastAsia"/>
          <w:color w:val="000000" w:themeColor="text1"/>
          <w:szCs w:val="31"/>
          <w14:textFill>
            <w14:solidFill>
              <w14:schemeClr w14:val="tx1"/>
            </w14:solidFill>
          </w14:textFill>
        </w:rPr>
        <w:t>以下</w:t>
      </w:r>
      <w:r>
        <w:rPr>
          <w:color w:val="000000" w:themeColor="text1"/>
          <w:szCs w:val="31"/>
          <w14:textFill>
            <w14:solidFill>
              <w14:schemeClr w14:val="tx1"/>
            </w14:solidFill>
          </w14:textFill>
        </w:rPr>
        <w:t>保存，有效期3个月</w:t>
      </w:r>
      <w:bookmarkEnd w:id="22"/>
      <w:r>
        <w:rPr>
          <w:color w:val="000000" w:themeColor="text1"/>
          <w:szCs w:val="31"/>
          <w14:textFill>
            <w14:solidFill>
              <w14:schemeClr w14:val="tx1"/>
            </w14:solidFill>
          </w14:textFill>
        </w:rPr>
        <w:t>。</w:t>
      </w:r>
    </w:p>
    <w:p>
      <w:pPr>
        <w:numPr>
          <w:ilvl w:val="1"/>
          <w:numId w:val="2"/>
        </w:numPr>
        <w:tabs>
          <w:tab w:val="left" w:pos="0"/>
        </w:tabs>
        <w:spacing w:line="300" w:lineRule="auto"/>
        <w:outlineLvl w:val="2"/>
        <w:rPr>
          <w:color w:val="000000" w:themeColor="text1"/>
          <w:szCs w:val="31"/>
          <w14:textFill>
            <w14:solidFill>
              <w14:schemeClr w14:val="tx1"/>
            </w14:solidFill>
          </w14:textFill>
        </w:rPr>
      </w:pPr>
      <w:bookmarkStart w:id="23" w:name="_Hlk12991681"/>
      <w:r>
        <w:rPr>
          <w:rFonts w:hint="eastAsia"/>
          <w:color w:val="000000" w:themeColor="text1"/>
          <w:szCs w:val="31"/>
          <w14:textFill>
            <w14:solidFill>
              <w14:schemeClr w14:val="tx1"/>
            </w14:solidFill>
          </w14:textFill>
        </w:rPr>
        <w:t>混合</w:t>
      </w:r>
      <w:r>
        <w:rPr>
          <w:color w:val="000000" w:themeColor="text1"/>
          <w:szCs w:val="31"/>
          <w14:textFill>
            <w14:solidFill>
              <w14:schemeClr w14:val="tx1"/>
            </w14:solidFill>
          </w14:textFill>
        </w:rPr>
        <w:t>标准中间溶液（200 mg/L）：准确移取</w:t>
      </w:r>
      <w:r>
        <w:rPr>
          <w:rFonts w:hint="eastAsia"/>
          <w:color w:val="000000" w:themeColor="text1"/>
          <w:szCs w:val="31"/>
          <w14:textFill>
            <w14:solidFill>
              <w14:schemeClr w14:val="tx1"/>
            </w14:solidFill>
          </w14:textFill>
        </w:rPr>
        <w:t>混合</w:t>
      </w:r>
      <w:r>
        <w:rPr>
          <w:color w:val="000000" w:themeColor="text1"/>
          <w:szCs w:val="31"/>
          <w14:textFill>
            <w14:solidFill>
              <w14:schemeClr w14:val="tx1"/>
            </w14:solidFill>
          </w14:textFill>
        </w:rPr>
        <w:t>标准储备溶液（5.7）200 μL，用水</w:t>
      </w:r>
      <w:r>
        <w:rPr>
          <w:rFonts w:hint="eastAsia"/>
          <w:color w:val="000000" w:themeColor="text1"/>
          <w:szCs w:val="31"/>
          <w14:textFill>
            <w14:solidFill>
              <w14:schemeClr w14:val="tx1"/>
            </w14:solidFill>
          </w14:textFill>
        </w:rPr>
        <w:t>稀释并</w:t>
      </w:r>
      <w:r>
        <w:rPr>
          <w:color w:val="000000" w:themeColor="text1"/>
          <w:szCs w:val="31"/>
          <w14:textFill>
            <w14:solidFill>
              <w14:schemeClr w14:val="tx1"/>
            </w14:solidFill>
          </w14:textFill>
        </w:rPr>
        <w:t>定容至</w:t>
      </w:r>
      <w:bookmarkEnd w:id="23"/>
      <w:r>
        <w:rPr>
          <w:color w:val="000000" w:themeColor="text1"/>
          <w:szCs w:val="31"/>
          <w14:textFill>
            <w14:solidFill>
              <w14:schemeClr w14:val="tx1"/>
            </w14:solidFill>
          </w14:textFill>
        </w:rPr>
        <w:t>10 mL</w:t>
      </w:r>
      <w:r>
        <w:rPr>
          <w:rFonts w:hint="eastAsia"/>
          <w:color w:val="000000" w:themeColor="text1"/>
          <w:szCs w:val="31"/>
          <w14:textFill>
            <w14:solidFill>
              <w14:schemeClr w14:val="tx1"/>
            </w14:solidFill>
          </w14:textFill>
        </w:rPr>
        <w:t>，混匀</w:t>
      </w:r>
      <w:r>
        <w:rPr>
          <w:color w:val="000000" w:themeColor="text1"/>
          <w:szCs w:val="31"/>
          <w14:textFill>
            <w14:solidFill>
              <w14:schemeClr w14:val="tx1"/>
            </w14:solidFill>
          </w14:textFill>
        </w:rPr>
        <w:t>。</w:t>
      </w:r>
      <w:r>
        <w:rPr>
          <w:rFonts w:hint="eastAsia"/>
          <w:color w:val="000000" w:themeColor="text1"/>
          <w:szCs w:val="31"/>
          <w14:textFill>
            <w14:solidFill>
              <w14:schemeClr w14:val="tx1"/>
            </w14:solidFill>
          </w14:textFill>
        </w:rPr>
        <w:t>临用</w:t>
      </w:r>
      <w:r>
        <w:rPr>
          <w:color w:val="000000" w:themeColor="text1"/>
          <w:szCs w:val="31"/>
          <w14:textFill>
            <w14:solidFill>
              <w14:schemeClr w14:val="tx1"/>
            </w14:solidFill>
          </w14:textFill>
        </w:rPr>
        <w:t>现配。</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混合</w:t>
      </w:r>
      <w:r>
        <w:rPr>
          <w:color w:val="000000" w:themeColor="text1"/>
          <w:szCs w:val="31"/>
          <w14:textFill>
            <w14:solidFill>
              <w14:schemeClr w14:val="tx1"/>
            </w14:solidFill>
          </w14:textFill>
        </w:rPr>
        <w:t>标准系列溶液：准确移取一定量的</w:t>
      </w:r>
      <w:r>
        <w:rPr>
          <w:rFonts w:hint="eastAsia"/>
          <w:color w:val="000000" w:themeColor="text1"/>
          <w:szCs w:val="31"/>
          <w14:textFill>
            <w14:solidFill>
              <w14:schemeClr w14:val="tx1"/>
            </w14:solidFill>
          </w14:textFill>
        </w:rPr>
        <w:t>混合</w:t>
      </w:r>
      <w:r>
        <w:rPr>
          <w:color w:val="000000" w:themeColor="text1"/>
          <w:szCs w:val="31"/>
          <w14:textFill>
            <w14:solidFill>
              <w14:schemeClr w14:val="tx1"/>
            </w14:solidFill>
          </w14:textFill>
        </w:rPr>
        <w:t>标准中间溶液（5.8），用水稀释定容，</w:t>
      </w:r>
      <w:r>
        <w:rPr>
          <w:rFonts w:hint="eastAsia"/>
          <w:color w:val="000000" w:themeColor="text1"/>
          <w:szCs w:val="31"/>
          <w14:textFill>
            <w14:solidFill>
              <w14:schemeClr w14:val="tx1"/>
            </w14:solidFill>
          </w14:textFill>
        </w:rPr>
        <w:t>配置成</w:t>
      </w:r>
      <w:r>
        <w:rPr>
          <w:color w:val="000000" w:themeColor="text1"/>
          <w:szCs w:val="31"/>
          <w14:textFill>
            <w14:solidFill>
              <w14:schemeClr w14:val="tx1"/>
            </w14:solidFill>
          </w14:textFill>
        </w:rPr>
        <w:t>浓度分别为</w:t>
      </w:r>
      <w:r>
        <w:rPr>
          <w:rFonts w:hint="eastAsia"/>
          <w:color w:val="000000" w:themeColor="text1"/>
          <w:szCs w:val="31"/>
          <w14:textFill>
            <w14:solidFill>
              <w14:schemeClr w14:val="tx1"/>
            </w14:solidFill>
          </w14:textFill>
        </w:rPr>
        <w:t>1</w:t>
      </w:r>
      <w:r>
        <w:rPr>
          <w:color w:val="000000" w:themeColor="text1"/>
          <w:szCs w:val="31"/>
          <w14:textFill>
            <w14:solidFill>
              <w14:schemeClr w14:val="tx1"/>
            </w14:solidFill>
          </w14:textFill>
        </w:rPr>
        <w:t xml:space="preserve"> mg/L</w:t>
      </w:r>
      <w:r>
        <w:rPr>
          <w:rFonts w:hint="eastAsia"/>
          <w:color w:val="000000" w:themeColor="text1"/>
          <w:szCs w:val="31"/>
          <w14:textFill>
            <w14:solidFill>
              <w14:schemeClr w14:val="tx1"/>
            </w14:solidFill>
          </w14:textFill>
        </w:rPr>
        <w:t xml:space="preserve"> 、5</w:t>
      </w:r>
      <w:r>
        <w:rPr>
          <w:color w:val="000000" w:themeColor="text1"/>
          <w:szCs w:val="31"/>
          <w14:textFill>
            <w14:solidFill>
              <w14:schemeClr w14:val="tx1"/>
            </w14:solidFill>
          </w14:textFill>
        </w:rPr>
        <w:t xml:space="preserve"> mg/L、10 mg/L、20 mg/L、50 mg/L</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100 mg/L和200 mg/L</w:t>
      </w:r>
      <w:r>
        <w:rPr>
          <w:rFonts w:hint="eastAsia"/>
          <w:color w:val="000000" w:themeColor="text1"/>
          <w:szCs w:val="31"/>
          <w14:textFill>
            <w14:solidFill>
              <w14:schemeClr w14:val="tx1"/>
            </w14:solidFill>
          </w14:textFill>
        </w:rPr>
        <w:t>混合标准系列溶液</w:t>
      </w:r>
      <w:r>
        <w:rPr>
          <w:color w:val="000000" w:themeColor="text1"/>
          <w:szCs w:val="31"/>
          <w14:textFill>
            <w14:solidFill>
              <w14:schemeClr w14:val="tx1"/>
            </w14:solidFill>
          </w14:textFill>
        </w:rPr>
        <w:t>，现用现配。</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color w:val="000000" w:themeColor="text1"/>
          <w:szCs w:val="31"/>
          <w14:textFill>
            <w14:solidFill>
              <w14:schemeClr w14:val="tx1"/>
            </w14:solidFill>
          </w14:textFill>
        </w:rPr>
        <w:t>微孔滤膜：水系，0.22 μm。</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仪器设备</w:t>
      </w:r>
    </w:p>
    <w:p>
      <w:pPr>
        <w:pStyle w:val="42"/>
        <w:spacing w:before="156" w:after="156"/>
        <w:rPr>
          <w:rFonts w:ascii="Times New Roman"/>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液相色谱仪：配紫外检测器或二极管阵列检测器。</w:t>
      </w:r>
    </w:p>
    <w:p>
      <w:pPr>
        <w:pStyle w:val="42"/>
        <w:spacing w:before="156" w:after="156"/>
        <w:rPr>
          <w:rFonts w:ascii="Times New Roman"/>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天平：</w:t>
      </w:r>
      <w:r>
        <w:rPr>
          <w:rFonts w:hint="eastAsia" w:ascii="Times New Roman" w:eastAsia="宋体"/>
          <w:color w:val="000000" w:themeColor="text1"/>
          <w:kern w:val="2"/>
          <w14:textFill>
            <w14:solidFill>
              <w14:schemeClr w14:val="tx1"/>
            </w14:solidFill>
          </w14:textFill>
        </w:rPr>
        <w:t>精度</w:t>
      </w:r>
      <w:r>
        <w:rPr>
          <w:rFonts w:ascii="Times New Roman" w:eastAsia="宋体"/>
          <w:color w:val="000000" w:themeColor="text1"/>
          <w:kern w:val="2"/>
          <w14:textFill>
            <w14:solidFill>
              <w14:schemeClr w14:val="tx1"/>
            </w14:solidFill>
          </w14:textFill>
        </w:rPr>
        <w:t>0.1 mg</w:t>
      </w:r>
      <w:r>
        <w:rPr>
          <w:rFonts w:hint="eastAsia" w:ascii="Times New Roman" w:eastAsia="宋体"/>
          <w:color w:val="000000" w:themeColor="text1"/>
          <w:kern w:val="2"/>
          <w14:textFill>
            <w14:solidFill>
              <w14:schemeClr w14:val="tx1"/>
            </w14:solidFill>
          </w14:textFill>
        </w:rPr>
        <w:t>和</w:t>
      </w:r>
      <w:r>
        <w:rPr>
          <w:rFonts w:ascii="Times New Roman" w:eastAsia="宋体"/>
          <w:color w:val="000000" w:themeColor="text1"/>
          <w:kern w:val="2"/>
          <w14:textFill>
            <w14:solidFill>
              <w14:schemeClr w14:val="tx1"/>
            </w14:solidFill>
          </w14:textFill>
        </w:rPr>
        <w:t>0.</w:t>
      </w:r>
      <w:r>
        <w:rPr>
          <w:rFonts w:hint="eastAsia" w:ascii="Times New Roman" w:eastAsia="宋体"/>
          <w:color w:val="000000" w:themeColor="text1"/>
          <w:kern w:val="2"/>
          <w14:textFill>
            <w14:solidFill>
              <w14:schemeClr w14:val="tx1"/>
            </w14:solidFill>
          </w14:textFill>
        </w:rPr>
        <w:t>0</w:t>
      </w:r>
      <w:r>
        <w:rPr>
          <w:rFonts w:ascii="Times New Roman" w:eastAsia="宋体"/>
          <w:color w:val="000000" w:themeColor="text1"/>
          <w:kern w:val="2"/>
          <w14:textFill>
            <w14:solidFill>
              <w14:schemeClr w14:val="tx1"/>
            </w14:solidFill>
          </w14:textFill>
        </w:rPr>
        <w:t>1 mg。</w:t>
      </w:r>
    </w:p>
    <w:p>
      <w:pPr>
        <w:pStyle w:val="42"/>
        <w:spacing w:before="156" w:after="156"/>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旋涡混合器。</w:t>
      </w:r>
    </w:p>
    <w:p>
      <w:pPr>
        <w:pStyle w:val="42"/>
        <w:spacing w:before="156" w:after="156"/>
        <w:rPr>
          <w:rFonts w:ascii="Times New Roman"/>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离心机：转速不</w:t>
      </w:r>
      <w:r>
        <w:rPr>
          <w:rFonts w:hint="eastAsia" w:ascii="Times New Roman" w:eastAsia="宋体"/>
          <w:color w:val="000000" w:themeColor="text1"/>
          <w14:textFill>
            <w14:solidFill>
              <w14:schemeClr w14:val="tx1"/>
            </w14:solidFill>
          </w14:textFill>
        </w:rPr>
        <w:t>低</w:t>
      </w:r>
      <w:r>
        <w:rPr>
          <w:rFonts w:ascii="Times New Roman" w:eastAsia="宋体"/>
          <w:color w:val="000000" w:themeColor="text1"/>
          <w14:textFill>
            <w14:solidFill>
              <w14:schemeClr w14:val="tx1"/>
            </w14:solidFill>
          </w14:textFill>
        </w:rPr>
        <w:t>于</w:t>
      </w:r>
      <w:r>
        <w:rPr>
          <w:rFonts w:ascii="Times New Roman" w:eastAsia="宋体"/>
        </w:rPr>
        <w:t>12000 r</w:t>
      </w:r>
      <w:r>
        <w:rPr>
          <w:rFonts w:ascii="Times New Roman" w:eastAsia="宋体"/>
          <w:color w:val="000000" w:themeColor="text1"/>
          <w14:textFill>
            <w14:solidFill>
              <w14:schemeClr w14:val="tx1"/>
            </w14:solidFill>
          </w14:textFill>
        </w:rPr>
        <w:t>/min。</w:t>
      </w:r>
    </w:p>
    <w:p>
      <w:pPr>
        <w:pStyle w:val="42"/>
        <w:spacing w:before="156" w:after="156"/>
        <w:rPr>
          <w:rFonts w:ascii="Times New Roman"/>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pH计：精度为</w:t>
      </w:r>
      <w:r>
        <w:rPr>
          <w:rFonts w:hint="eastAsia" w:ascii="Times New Roman" w:eastAsia="宋体"/>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0.01。</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样品</w:t>
      </w:r>
    </w:p>
    <w:p>
      <w:pPr>
        <w:pStyle w:val="23"/>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取</w:t>
      </w:r>
      <w:r>
        <w:rPr>
          <w:rFonts w:ascii="Times New Roman"/>
          <w:color w:val="000000" w:themeColor="text1"/>
          <w:szCs w:val="21"/>
          <w14:textFill>
            <w14:solidFill>
              <w14:schemeClr w14:val="tx1"/>
            </w14:solidFill>
          </w14:textFill>
        </w:rPr>
        <w:t>生</w:t>
      </w:r>
      <w:r>
        <w:rPr>
          <w:rFonts w:hint="eastAsia" w:ascii="Times New Roman"/>
          <w:color w:val="000000" w:themeColor="text1"/>
          <w:szCs w:val="21"/>
          <w14:textFill>
            <w14:solidFill>
              <w14:schemeClr w14:val="tx1"/>
            </w14:solidFill>
          </w14:textFill>
        </w:rPr>
        <w:t>牛</w:t>
      </w:r>
      <w:r>
        <w:rPr>
          <w:rFonts w:ascii="Times New Roman"/>
          <w:color w:val="000000" w:themeColor="text1"/>
          <w:szCs w:val="21"/>
          <w14:textFill>
            <w14:solidFill>
              <w14:schemeClr w14:val="tx1"/>
            </w14:solidFill>
          </w14:textFill>
        </w:rPr>
        <w:t>乳</w:t>
      </w:r>
      <w:r>
        <w:rPr>
          <w:rFonts w:hint="eastAsia" w:ascii="Times New Roman"/>
          <w:color w:val="000000" w:themeColor="text1"/>
          <w:szCs w:val="21"/>
          <w14:textFill>
            <w14:solidFill>
              <w14:schemeClr w14:val="tx1"/>
            </w14:solidFill>
          </w14:textFill>
        </w:rPr>
        <w:t>、巴氏杀菌牛乳</w:t>
      </w:r>
      <w:r>
        <w:rPr>
          <w:rFonts w:ascii="Times New Roman"/>
          <w:color w:val="000000" w:themeColor="text1"/>
          <w:szCs w:val="21"/>
          <w14:textFill>
            <w14:solidFill>
              <w14:schemeClr w14:val="tx1"/>
            </w14:solidFill>
          </w14:textFill>
        </w:rPr>
        <w:t>约200 g，混匀，装入洁净容器</w:t>
      </w:r>
      <w:r>
        <w:rPr>
          <w:rFonts w:hint="eastAsia" w:ascii="Times New Roman"/>
          <w:color w:val="000000" w:themeColor="text1"/>
          <w:szCs w:val="21"/>
          <w14:textFill>
            <w14:solidFill>
              <w14:schemeClr w14:val="tx1"/>
            </w14:solidFill>
          </w14:textFill>
        </w:rPr>
        <w:t>中，立即测定</w:t>
      </w:r>
      <w:r>
        <w:rPr>
          <w:rFonts w:ascii="Times New Roman"/>
          <w:color w:val="000000" w:themeColor="text1"/>
          <w:szCs w:val="21"/>
          <w14:textFill>
            <w14:solidFill>
              <w14:schemeClr w14:val="tx1"/>
            </w14:solidFill>
          </w14:textFill>
        </w:rPr>
        <w:t>。</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试验步骤</w:t>
      </w:r>
    </w:p>
    <w:p>
      <w:pPr>
        <w:autoSpaceDE w:val="0"/>
        <w:autoSpaceDN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8.1  提取</w:t>
      </w:r>
    </w:p>
    <w:p>
      <w:pPr>
        <w:pStyle w:val="45"/>
        <w:numPr>
          <w:ilvl w:val="0"/>
          <w:numId w:val="0"/>
        </w:numPr>
        <w:spacing w:before="156" w:beforeLines="50" w:after="156" w:afterLines="50" w:line="360" w:lineRule="auto"/>
        <w:ind w:firstLine="420" w:firstLineChars="200"/>
        <w:rPr>
          <w:rFonts w:ascii="Times New Roman" w:eastAsia="宋体"/>
          <w:color w:val="000000" w:themeColor="text1"/>
          <w:szCs w:val="21"/>
          <w14:textFill>
            <w14:solidFill>
              <w14:schemeClr w14:val="tx1"/>
            </w14:solidFill>
          </w14:textFill>
        </w:rPr>
      </w:pPr>
      <w:r>
        <w:rPr>
          <w:rFonts w:hint="eastAsia" w:ascii="Times New Roman" w:eastAsia="宋体"/>
          <w:color w:val="000000" w:themeColor="text1"/>
          <w:szCs w:val="21"/>
          <w14:textFill>
            <w14:solidFill>
              <w14:schemeClr w14:val="tx1"/>
            </w14:solidFill>
          </w14:textFill>
        </w:rPr>
        <w:t>平行</w:t>
      </w:r>
      <w:r>
        <w:rPr>
          <w:rFonts w:ascii="Times New Roman" w:eastAsia="宋体"/>
          <w:color w:val="000000" w:themeColor="text1"/>
          <w:szCs w:val="21"/>
          <w14:textFill>
            <w14:solidFill>
              <w14:schemeClr w14:val="tx1"/>
            </w14:solidFill>
          </w14:textFill>
        </w:rPr>
        <w:t>做两份试验。称取试样5 g（精确到0.1</w:t>
      </w:r>
      <w:r>
        <w:rPr>
          <w:rFonts w:hint="eastAsia" w:ascii="Times New Roman" w:eastAsia="宋体"/>
          <w:color w:val="000000" w:themeColor="text1"/>
          <w:szCs w:val="21"/>
          <w14:textFill>
            <w14:solidFill>
              <w14:schemeClr w14:val="tx1"/>
            </w14:solidFill>
          </w14:textFill>
        </w:rPr>
        <w:t>m</w:t>
      </w:r>
      <w:r>
        <w:rPr>
          <w:rFonts w:ascii="Times New Roman" w:eastAsia="宋体"/>
          <w:color w:val="000000" w:themeColor="text1"/>
          <w:szCs w:val="21"/>
          <w14:textFill>
            <w14:solidFill>
              <w14:schemeClr w14:val="tx1"/>
            </w14:solidFill>
          </w14:textFill>
        </w:rPr>
        <w:t>g）</w:t>
      </w:r>
      <w:r>
        <w:rPr>
          <w:rFonts w:hint="eastAsia" w:ascii="Times New Roman" w:eastAsia="宋体"/>
          <w:color w:val="000000" w:themeColor="text1"/>
          <w:szCs w:val="21"/>
          <w14:textFill>
            <w14:solidFill>
              <w14:schemeClr w14:val="tx1"/>
            </w14:solidFill>
          </w14:textFill>
        </w:rPr>
        <w:t>于5</w:t>
      </w:r>
      <w:r>
        <w:rPr>
          <w:rFonts w:ascii="Times New Roman" w:eastAsia="宋体"/>
          <w:color w:val="000000" w:themeColor="text1"/>
          <w:szCs w:val="21"/>
          <w14:textFill>
            <w14:solidFill>
              <w14:schemeClr w14:val="tx1"/>
            </w14:solidFill>
          </w14:textFill>
        </w:rPr>
        <w:t>0</w:t>
      </w:r>
      <w:r>
        <w:rPr>
          <w:rFonts w:hint="eastAsia" w:ascii="Times New Roman" w:eastAsia="宋体"/>
          <w:color w:val="000000" w:themeColor="text1"/>
          <w:szCs w:val="21"/>
          <w14:textFill>
            <w14:solidFill>
              <w14:schemeClr w14:val="tx1"/>
            </w14:solidFill>
          </w14:textFill>
        </w:rPr>
        <w:t>mL离心管中</w:t>
      </w:r>
      <w:r>
        <w:rPr>
          <w:rFonts w:ascii="Times New Roman" w:eastAsia="宋体"/>
          <w:color w:val="000000" w:themeColor="text1"/>
          <w:szCs w:val="21"/>
          <w14:textFill>
            <w14:solidFill>
              <w14:schemeClr w14:val="tx1"/>
            </w14:solidFill>
          </w14:textFill>
        </w:rPr>
        <w:t>，加</w:t>
      </w:r>
      <w:r>
        <w:rPr>
          <w:rFonts w:hint="eastAsia" w:ascii="Times New Roman" w:eastAsia="宋体"/>
          <w:szCs w:val="21"/>
        </w:rPr>
        <w:t>适量水</w:t>
      </w:r>
      <w:r>
        <w:rPr>
          <w:rFonts w:ascii="Times New Roman" w:eastAsia="宋体"/>
          <w:color w:val="000000" w:themeColor="text1"/>
          <w:szCs w:val="21"/>
          <w14:textFill>
            <w14:solidFill>
              <w14:schemeClr w14:val="tx1"/>
            </w14:solidFill>
          </w14:textFill>
        </w:rPr>
        <w:t>混匀，</w:t>
      </w:r>
      <w:r>
        <w:rPr>
          <w:rFonts w:hint="eastAsia" w:ascii="Times New Roman" w:eastAsia="宋体"/>
          <w:color w:val="000000" w:themeColor="text1"/>
          <w:szCs w:val="21"/>
          <w14:textFill>
            <w14:solidFill>
              <w14:schemeClr w14:val="tx1"/>
            </w14:solidFill>
          </w14:textFill>
        </w:rPr>
        <w:t>用</w:t>
      </w:r>
      <w:r>
        <w:rPr>
          <w:rFonts w:ascii="Times New Roman" w:eastAsia="宋体"/>
          <w:color w:val="000000" w:themeColor="text1"/>
          <w:szCs w:val="21"/>
          <w14:textFill>
            <w14:solidFill>
              <w14:schemeClr w14:val="tx1"/>
            </w14:solidFill>
          </w14:textFill>
        </w:rPr>
        <w:t>乙酸调节pH为4.60</w:t>
      </w:r>
      <w:r>
        <w:rPr>
          <w:rFonts w:hint="eastAsia" w:ascii="Times New Roman" w:eastAsia="宋体"/>
          <w:color w:val="000000" w:themeColor="text1"/>
          <w:szCs w:val="21"/>
          <w14:textFill>
            <w14:solidFill>
              <w14:schemeClr w14:val="tx1"/>
            </w14:solidFill>
          </w14:textFill>
        </w:rPr>
        <w:t>±0.05后</w:t>
      </w:r>
      <w:r>
        <w:rPr>
          <w:rFonts w:ascii="Times New Roman" w:eastAsia="宋体"/>
          <w:color w:val="000000" w:themeColor="text1"/>
          <w:szCs w:val="21"/>
          <w14:textFill>
            <w14:solidFill>
              <w14:schemeClr w14:val="tx1"/>
            </w14:solidFill>
          </w14:textFill>
        </w:rPr>
        <w:t>，</w:t>
      </w:r>
      <w:r>
        <w:rPr>
          <w:rFonts w:hint="eastAsia" w:ascii="Times New Roman" w:eastAsia="宋体"/>
          <w:color w:val="000000" w:themeColor="text1"/>
          <w:szCs w:val="21"/>
          <w14:textFill>
            <w14:solidFill>
              <w14:schemeClr w14:val="tx1"/>
            </w14:solidFill>
          </w14:textFill>
        </w:rPr>
        <w:t>转移至容量瓶中用水</w:t>
      </w:r>
      <w:r>
        <w:rPr>
          <w:rFonts w:ascii="Times New Roman" w:eastAsia="宋体"/>
          <w:color w:val="000000" w:themeColor="text1"/>
          <w:szCs w:val="21"/>
          <w14:textFill>
            <w14:solidFill>
              <w14:schemeClr w14:val="tx1"/>
            </w14:solidFill>
          </w14:textFill>
        </w:rPr>
        <w:t>定容至25.0 mL，</w:t>
      </w:r>
      <w:r>
        <w:rPr>
          <w:rFonts w:hint="eastAsia" w:ascii="Times New Roman" w:eastAsia="宋体"/>
          <w:color w:val="000000" w:themeColor="text1"/>
          <w:szCs w:val="21"/>
          <w14:textFill>
            <w14:solidFill>
              <w14:schemeClr w14:val="tx1"/>
            </w14:solidFill>
          </w14:textFill>
        </w:rPr>
        <w:t>混匀，转移至离心管中，静置</w:t>
      </w:r>
      <w:r>
        <w:rPr>
          <w:rFonts w:ascii="Times New Roman" w:eastAsia="宋体"/>
          <w:color w:val="000000" w:themeColor="text1"/>
          <w:szCs w:val="21"/>
          <w14:textFill>
            <w14:solidFill>
              <w14:schemeClr w14:val="tx1"/>
            </w14:solidFill>
          </w14:textFill>
        </w:rPr>
        <w:t>10</w:t>
      </w:r>
      <w:r>
        <w:rPr>
          <w:rFonts w:hint="eastAsia" w:ascii="Times New Roman" w:eastAsia="宋体"/>
          <w:color w:val="000000" w:themeColor="text1"/>
          <w:szCs w:val="21"/>
          <w14:textFill>
            <w14:solidFill>
              <w14:schemeClr w14:val="tx1"/>
            </w14:solidFill>
          </w14:textFill>
        </w:rPr>
        <w:t xml:space="preserve"> </w:t>
      </w:r>
      <w:r>
        <w:rPr>
          <w:rFonts w:ascii="Times New Roman" w:eastAsia="宋体"/>
          <w:color w:val="000000" w:themeColor="text1"/>
          <w:szCs w:val="21"/>
          <w14:textFill>
            <w14:solidFill>
              <w14:schemeClr w14:val="tx1"/>
            </w14:solidFill>
          </w14:textFill>
        </w:rPr>
        <w:t>min</w:t>
      </w:r>
      <w:r>
        <w:rPr>
          <w:rFonts w:hint="eastAsia" w:ascii="Times New Roman" w:eastAsia="宋体"/>
          <w:color w:val="000000" w:themeColor="text1"/>
          <w:szCs w:val="21"/>
          <w14:textFill>
            <w14:solidFill>
              <w14:schemeClr w14:val="tx1"/>
            </w14:solidFill>
          </w14:textFill>
        </w:rPr>
        <w:t>以上，1</w:t>
      </w:r>
      <w:r>
        <w:rPr>
          <w:rFonts w:ascii="Times New Roman" w:eastAsia="宋体"/>
          <w:color w:val="000000" w:themeColor="text1"/>
          <w:szCs w:val="21"/>
          <w14:textFill>
            <w14:solidFill>
              <w14:schemeClr w14:val="tx1"/>
            </w14:solidFill>
          </w14:textFill>
        </w:rPr>
        <w:t>2000</w:t>
      </w:r>
      <w:r>
        <w:rPr>
          <w:rFonts w:hint="eastAsia" w:ascii="Times New Roman" w:eastAsia="宋体"/>
          <w:color w:val="000000" w:themeColor="text1"/>
          <w:szCs w:val="21"/>
          <w14:textFill>
            <w14:solidFill>
              <w14:schemeClr w14:val="tx1"/>
            </w14:solidFill>
          </w14:textFill>
        </w:rPr>
        <w:t>转/min，离心10</w:t>
      </w:r>
      <w:r>
        <w:rPr>
          <w:rFonts w:ascii="Times New Roman" w:eastAsia="宋体"/>
          <w:color w:val="000000" w:themeColor="text1"/>
          <w:szCs w:val="21"/>
          <w14:textFill>
            <w14:solidFill>
              <w14:schemeClr w14:val="tx1"/>
            </w14:solidFill>
          </w14:textFill>
        </w:rPr>
        <w:t xml:space="preserve"> min</w:t>
      </w:r>
      <w:r>
        <w:rPr>
          <w:rFonts w:hint="eastAsia" w:ascii="Times New Roman" w:eastAsia="宋体"/>
          <w:color w:val="000000" w:themeColor="text1"/>
          <w:szCs w:val="21"/>
          <w14:textFill>
            <w14:solidFill>
              <w14:schemeClr w14:val="tx1"/>
            </w14:solidFill>
          </w14:textFill>
        </w:rPr>
        <w:t>。准确移</w:t>
      </w:r>
      <w:r>
        <w:rPr>
          <w:rFonts w:ascii="Times New Roman" w:eastAsia="宋体"/>
          <w:color w:val="000000" w:themeColor="text1"/>
          <w:szCs w:val="21"/>
          <w14:textFill>
            <w14:solidFill>
              <w14:schemeClr w14:val="tx1"/>
            </w14:solidFill>
          </w14:textFill>
        </w:rPr>
        <w:t>取上清液1</w:t>
      </w:r>
      <w:r>
        <w:rPr>
          <w:rFonts w:hint="eastAsia" w:ascii="Times New Roman" w:eastAsia="宋体"/>
          <w:color w:val="000000" w:themeColor="text1"/>
          <w:szCs w:val="21"/>
          <w14:textFill>
            <w14:solidFill>
              <w14:schemeClr w14:val="tx1"/>
            </w14:solidFill>
          </w14:textFill>
        </w:rPr>
        <w:t xml:space="preserve"> </w:t>
      </w:r>
      <w:r>
        <w:rPr>
          <w:rFonts w:ascii="Times New Roman" w:eastAsia="宋体"/>
          <w:color w:val="000000" w:themeColor="text1"/>
          <w:szCs w:val="21"/>
          <w14:textFill>
            <w14:solidFill>
              <w14:schemeClr w14:val="tx1"/>
            </w14:solidFill>
          </w14:textFill>
        </w:rPr>
        <w:t>mL</w:t>
      </w:r>
      <w:r>
        <w:rPr>
          <w:rFonts w:hint="eastAsia" w:ascii="Times New Roman" w:eastAsia="宋体"/>
          <w:color w:val="000000" w:themeColor="text1"/>
          <w:szCs w:val="21"/>
          <w14:textFill>
            <w14:solidFill>
              <w14:schemeClr w14:val="tx1"/>
            </w14:solidFill>
          </w14:textFill>
        </w:rPr>
        <w:t>于</w:t>
      </w:r>
      <w:r>
        <w:rPr>
          <w:rFonts w:ascii="Times New Roman" w:eastAsia="宋体"/>
          <w:color w:val="000000" w:themeColor="text1"/>
          <w:szCs w:val="21"/>
          <w14:textFill>
            <w14:solidFill>
              <w14:schemeClr w14:val="tx1"/>
            </w14:solidFill>
          </w14:textFill>
        </w:rPr>
        <w:t>5</w:t>
      </w:r>
      <w:r>
        <w:rPr>
          <w:rFonts w:hint="eastAsia" w:ascii="Times New Roman" w:eastAsia="宋体"/>
          <w:color w:val="000000" w:themeColor="text1"/>
          <w:szCs w:val="21"/>
          <w14:textFill>
            <w14:solidFill>
              <w14:schemeClr w14:val="tx1"/>
            </w14:solidFill>
          </w14:textFill>
        </w:rPr>
        <w:t xml:space="preserve"> </w:t>
      </w:r>
      <w:r>
        <w:rPr>
          <w:rFonts w:ascii="Times New Roman" w:eastAsia="宋体"/>
          <w:color w:val="000000" w:themeColor="text1"/>
          <w:szCs w:val="21"/>
          <w14:textFill>
            <w14:solidFill>
              <w14:schemeClr w14:val="tx1"/>
            </w14:solidFill>
          </w14:textFill>
        </w:rPr>
        <w:t>mL</w:t>
      </w:r>
      <w:r>
        <w:rPr>
          <w:rFonts w:hint="eastAsia" w:ascii="Times New Roman" w:eastAsia="宋体"/>
          <w:color w:val="000000" w:themeColor="text1"/>
          <w:szCs w:val="21"/>
          <w14:textFill>
            <w14:solidFill>
              <w14:schemeClr w14:val="tx1"/>
            </w14:solidFill>
          </w14:textFill>
        </w:rPr>
        <w:t>容量瓶中，用水定容，混匀，</w:t>
      </w:r>
      <w:r>
        <w:rPr>
          <w:rFonts w:ascii="Times New Roman" w:eastAsia="宋体"/>
          <w:color w:val="000000" w:themeColor="text1"/>
          <w:szCs w:val="21"/>
          <w14:textFill>
            <w14:solidFill>
              <w14:schemeClr w14:val="tx1"/>
            </w14:solidFill>
          </w14:textFill>
        </w:rPr>
        <w:t>过膜（5.10）</w:t>
      </w:r>
      <w:r>
        <w:rPr>
          <w:rFonts w:hint="eastAsia" w:ascii="Times New Roman" w:eastAsia="宋体"/>
          <w:color w:val="000000" w:themeColor="text1"/>
          <w:szCs w:val="21"/>
          <w14:textFill>
            <w14:solidFill>
              <w14:schemeClr w14:val="tx1"/>
            </w14:solidFill>
          </w14:textFill>
        </w:rPr>
        <w:t>为试样溶液，</w:t>
      </w:r>
      <w:r>
        <w:rPr>
          <w:rFonts w:ascii="Times New Roman" w:eastAsia="宋体"/>
          <w:color w:val="000000" w:themeColor="text1"/>
          <w:szCs w:val="21"/>
          <w14:textFill>
            <w14:solidFill>
              <w14:schemeClr w14:val="tx1"/>
            </w14:solidFill>
          </w14:textFill>
        </w:rPr>
        <w:t>待测。</w:t>
      </w:r>
    </w:p>
    <w:p>
      <w:pPr>
        <w:autoSpaceDE w:val="0"/>
        <w:autoSpaceDN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8.2  测定步骤</w:t>
      </w:r>
    </w:p>
    <w:p>
      <w:pPr>
        <w:widowControl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 xml:space="preserve">8.2.1  </w:t>
      </w:r>
      <w:r>
        <w:rPr>
          <w:rFonts w:hint="eastAsia" w:eastAsia="黑体"/>
          <w:color w:val="000000" w:themeColor="text1"/>
          <w:kern w:val="0"/>
          <w14:textFill>
            <w14:solidFill>
              <w14:schemeClr w14:val="tx1"/>
            </w14:solidFill>
          </w14:textFill>
        </w:rPr>
        <w:t>反相</w:t>
      </w:r>
      <w:r>
        <w:rPr>
          <w:rFonts w:eastAsia="黑体"/>
          <w:color w:val="000000" w:themeColor="text1"/>
          <w:kern w:val="0"/>
          <w14:textFill>
            <w14:solidFill>
              <w14:schemeClr w14:val="tx1"/>
            </w14:solidFill>
          </w14:textFill>
        </w:rPr>
        <w:t>液相色谱参考条件</w:t>
      </w:r>
    </w:p>
    <w:p>
      <w:pPr>
        <w:widowControl w:val="0"/>
        <w:spacing w:line="300" w:lineRule="auto"/>
        <w:ind w:firstLine="420" w:firstLineChars="200"/>
        <w:rPr>
          <w:color w:val="000000" w:themeColor="text1"/>
          <w:kern w:val="0"/>
          <w:szCs w:val="20"/>
          <w14:textFill>
            <w14:solidFill>
              <w14:schemeClr w14:val="tx1"/>
            </w14:solidFill>
          </w14:textFill>
        </w:rPr>
      </w:pPr>
      <w:r>
        <w:rPr>
          <w:rFonts w:hint="eastAsia"/>
          <w:color w:val="000000" w:themeColor="text1"/>
          <w14:textFill>
            <w14:solidFill>
              <w14:schemeClr w14:val="tx1"/>
            </w14:solidFill>
          </w14:textFill>
        </w:rPr>
        <w:t>反相</w:t>
      </w:r>
      <w:r>
        <w:rPr>
          <w:color w:val="000000" w:themeColor="text1"/>
          <w14:textFill>
            <w14:solidFill>
              <w14:schemeClr w14:val="tx1"/>
            </w14:solidFill>
          </w14:textFill>
        </w:rPr>
        <w:t>液相色谱参考条件</w:t>
      </w:r>
      <w:r>
        <w:rPr>
          <w:rFonts w:hint="eastAsia"/>
          <w:color w:val="000000" w:themeColor="text1"/>
          <w14:textFill>
            <w14:solidFill>
              <w14:schemeClr w14:val="tx1"/>
            </w14:solidFill>
          </w14:textFill>
        </w:rPr>
        <w:t>如下：</w:t>
      </w:r>
    </w:p>
    <w:p>
      <w:pPr>
        <w:pStyle w:val="141"/>
        <w:numPr>
          <w:ilvl w:val="0"/>
          <w:numId w:val="19"/>
        </w:numPr>
        <w:spacing w:line="300" w:lineRule="auto"/>
        <w:ind w:firstLineChars="0"/>
        <w:rPr>
          <w:color w:val="000000" w:themeColor="text1"/>
          <w:szCs w:val="20"/>
          <w14:textFill>
            <w14:solidFill>
              <w14:schemeClr w14:val="tx1"/>
            </w14:solidFill>
          </w14:textFill>
        </w:rPr>
      </w:pPr>
      <w:r>
        <w:rPr>
          <w:rFonts w:hint="eastAsia"/>
          <w:color w:val="000000" w:themeColor="text1"/>
          <w:kern w:val="0"/>
          <w:szCs w:val="20"/>
          <w14:textFill>
            <w14:solidFill>
              <w14:schemeClr w14:val="tx1"/>
            </w14:solidFill>
          </w14:textFill>
        </w:rPr>
        <w:t>色谱柱：</w:t>
      </w:r>
      <w:r>
        <w:rPr>
          <w:color w:val="000000" w:themeColor="text1"/>
          <w:kern w:val="0"/>
          <w:szCs w:val="20"/>
          <w14:textFill>
            <w14:solidFill>
              <w14:schemeClr w14:val="tx1"/>
            </w14:solidFill>
          </w14:textFill>
        </w:rPr>
        <w:t xml:space="preserve"> </w:t>
      </w:r>
      <w:r>
        <w:rPr>
          <w:rFonts w:hint="eastAsia"/>
          <w:color w:val="000000" w:themeColor="text1"/>
          <w:kern w:val="0"/>
          <w:szCs w:val="20"/>
          <w14:textFill>
            <w14:solidFill>
              <w14:schemeClr w14:val="tx1"/>
            </w14:solidFill>
          </w14:textFill>
        </w:rPr>
        <w:t>C</w:t>
      </w:r>
      <w:r>
        <w:rPr>
          <w:color w:val="000000" w:themeColor="text1"/>
          <w:kern w:val="0"/>
          <w:szCs w:val="20"/>
          <w14:textFill>
            <w14:solidFill>
              <w14:schemeClr w14:val="tx1"/>
            </w14:solidFill>
          </w14:textFill>
        </w:rPr>
        <w:t xml:space="preserve">4 </w:t>
      </w:r>
      <w:r>
        <w:rPr>
          <w:rFonts w:hint="eastAsia"/>
          <w:color w:val="000000" w:themeColor="text1"/>
          <w:kern w:val="0"/>
          <w:szCs w:val="20"/>
          <w14:textFill>
            <w14:solidFill>
              <w14:schemeClr w14:val="tx1"/>
            </w14:solidFill>
          </w14:textFill>
        </w:rPr>
        <w:t>色谱柱(</w:t>
      </w:r>
      <w:r>
        <w:rPr>
          <w:color w:val="000000" w:themeColor="text1"/>
          <w:kern w:val="0"/>
          <w:szCs w:val="20"/>
          <w14:textFill>
            <w14:solidFill>
              <w14:schemeClr w14:val="tx1"/>
            </w14:solidFill>
          </w14:textFill>
        </w:rPr>
        <w:t>300Å</w:t>
      </w:r>
      <w:r>
        <w:rPr>
          <w:rFonts w:hint="eastAsia"/>
          <w:color w:val="000000" w:themeColor="text1"/>
          <w:kern w:val="0"/>
          <w:szCs w:val="20"/>
          <w14:textFill>
            <w14:solidFill>
              <w14:schemeClr w14:val="tx1"/>
            </w14:solidFill>
          </w14:textFill>
        </w:rPr>
        <w:t>)，柱长</w:t>
      </w:r>
      <w:r>
        <w:rPr>
          <w:color w:val="000000" w:themeColor="text1"/>
          <w:kern w:val="0"/>
          <w:szCs w:val="20"/>
          <w14:textFill>
            <w14:solidFill>
              <w14:schemeClr w14:val="tx1"/>
            </w14:solidFill>
          </w14:textFill>
        </w:rPr>
        <w:t>250 mm</w:t>
      </w:r>
      <w:r>
        <w:rPr>
          <w:rFonts w:hint="eastAsia"/>
          <w:color w:val="000000" w:themeColor="text1"/>
          <w:kern w:val="0"/>
          <w:szCs w:val="20"/>
          <w14:textFill>
            <w14:solidFill>
              <w14:schemeClr w14:val="tx1"/>
            </w14:solidFill>
          </w14:textFill>
        </w:rPr>
        <w:t>，内径</w:t>
      </w:r>
      <w:r>
        <w:rPr>
          <w:color w:val="000000" w:themeColor="text1"/>
          <w:kern w:val="0"/>
          <w:szCs w:val="20"/>
          <w14:textFill>
            <w14:solidFill>
              <w14:schemeClr w14:val="tx1"/>
            </w14:solidFill>
          </w14:textFill>
        </w:rPr>
        <w:t>4.6 mm</w:t>
      </w:r>
      <w:r>
        <w:rPr>
          <w:rFonts w:hint="eastAsia"/>
          <w:color w:val="000000" w:themeColor="text1"/>
          <w:kern w:val="0"/>
          <w:szCs w:val="20"/>
          <w14:textFill>
            <w14:solidFill>
              <w14:schemeClr w14:val="tx1"/>
            </w14:solidFill>
          </w14:textFill>
        </w:rPr>
        <w:t>，粒径</w:t>
      </w:r>
      <w:r>
        <w:rPr>
          <w:color w:val="000000" w:themeColor="text1"/>
          <w:kern w:val="0"/>
          <w:szCs w:val="20"/>
          <w14:textFill>
            <w14:solidFill>
              <w14:schemeClr w14:val="tx1"/>
            </w14:solidFill>
          </w14:textFill>
        </w:rPr>
        <w:t>3.5 μm</w:t>
      </w:r>
      <w:r>
        <w:rPr>
          <w:rFonts w:hint="eastAsia"/>
          <w:color w:val="000000" w:themeColor="text1"/>
          <w:kern w:val="0"/>
          <w:szCs w:val="20"/>
          <w14:textFill>
            <w14:solidFill>
              <w14:schemeClr w14:val="tx1"/>
            </w14:solidFill>
          </w14:textFill>
        </w:rPr>
        <w:t>，或性能相当者。</w:t>
      </w:r>
    </w:p>
    <w:p>
      <w:pPr>
        <w:pStyle w:val="141"/>
        <w:numPr>
          <w:ilvl w:val="0"/>
          <w:numId w:val="19"/>
        </w:numPr>
        <w:spacing w:line="300" w:lineRule="auto"/>
        <w:ind w:firstLineChars="0"/>
        <w:rPr>
          <w:color w:val="000000" w:themeColor="text1"/>
          <w:szCs w:val="20"/>
          <w14:textFill>
            <w14:solidFill>
              <w14:schemeClr w14:val="tx1"/>
            </w14:solidFill>
          </w14:textFill>
        </w:rPr>
      </w:pPr>
      <w:r>
        <w:rPr>
          <w:rFonts w:hint="eastAsia"/>
          <w:color w:val="000000" w:themeColor="text1"/>
          <w:kern w:val="0"/>
          <w:szCs w:val="20"/>
          <w14:textFill>
            <w14:solidFill>
              <w14:schemeClr w14:val="tx1"/>
            </w14:solidFill>
          </w14:textFill>
        </w:rPr>
        <w:t>检测波长：</w:t>
      </w:r>
      <w:r>
        <w:rPr>
          <w:color w:val="000000" w:themeColor="text1"/>
          <w:kern w:val="0"/>
          <w:szCs w:val="20"/>
          <w14:textFill>
            <w14:solidFill>
              <w14:schemeClr w14:val="tx1"/>
            </w14:solidFill>
          </w14:textFill>
        </w:rPr>
        <w:t>210 nm</w:t>
      </w:r>
      <w:r>
        <w:rPr>
          <w:rFonts w:hint="eastAsia"/>
          <w:color w:val="000000" w:themeColor="text1"/>
          <w:kern w:val="0"/>
          <w:szCs w:val="20"/>
          <w14:textFill>
            <w14:solidFill>
              <w14:schemeClr w14:val="tx1"/>
            </w14:solidFill>
          </w14:textFill>
        </w:rPr>
        <w:t>；</w:t>
      </w:r>
    </w:p>
    <w:p>
      <w:pPr>
        <w:pStyle w:val="141"/>
        <w:numPr>
          <w:ilvl w:val="0"/>
          <w:numId w:val="19"/>
        </w:numPr>
        <w:spacing w:line="300" w:lineRule="auto"/>
        <w:ind w:firstLineChars="0"/>
        <w:rPr>
          <w:color w:val="000000" w:themeColor="text1"/>
          <w:szCs w:val="20"/>
          <w14:textFill>
            <w14:solidFill>
              <w14:schemeClr w14:val="tx1"/>
            </w14:solidFill>
          </w14:textFill>
        </w:rPr>
      </w:pPr>
      <w:r>
        <w:rPr>
          <w:rFonts w:hint="eastAsia"/>
          <w:color w:val="000000" w:themeColor="text1"/>
          <w:kern w:val="0"/>
          <w:szCs w:val="20"/>
          <w14:textFill>
            <w14:solidFill>
              <w14:schemeClr w14:val="tx1"/>
            </w14:solidFill>
          </w14:textFill>
        </w:rPr>
        <w:t>流速：</w:t>
      </w:r>
      <w:r>
        <w:rPr>
          <w:color w:val="000000" w:themeColor="text1"/>
          <w:kern w:val="0"/>
          <w:szCs w:val="20"/>
          <w14:textFill>
            <w14:solidFill>
              <w14:schemeClr w14:val="tx1"/>
            </w14:solidFill>
          </w14:textFill>
        </w:rPr>
        <w:t>1.5 mL/min</w:t>
      </w:r>
      <w:r>
        <w:rPr>
          <w:rFonts w:hint="eastAsia"/>
          <w:color w:val="000000" w:themeColor="text1"/>
          <w:kern w:val="0"/>
          <w:szCs w:val="20"/>
          <w14:textFill>
            <w14:solidFill>
              <w14:schemeClr w14:val="tx1"/>
            </w14:solidFill>
          </w14:textFill>
        </w:rPr>
        <w:t>；</w:t>
      </w:r>
    </w:p>
    <w:p>
      <w:pPr>
        <w:pStyle w:val="141"/>
        <w:numPr>
          <w:ilvl w:val="0"/>
          <w:numId w:val="19"/>
        </w:numPr>
        <w:spacing w:line="300" w:lineRule="auto"/>
        <w:ind w:firstLineChars="0"/>
        <w:rPr>
          <w:color w:val="000000" w:themeColor="text1"/>
          <w:szCs w:val="20"/>
          <w14:textFill>
            <w14:solidFill>
              <w14:schemeClr w14:val="tx1"/>
            </w14:solidFill>
          </w14:textFill>
        </w:rPr>
      </w:pPr>
      <w:r>
        <w:rPr>
          <w:rFonts w:hint="eastAsia"/>
          <w:color w:val="000000" w:themeColor="text1"/>
          <w:kern w:val="0"/>
          <w:szCs w:val="20"/>
          <w14:textFill>
            <w14:solidFill>
              <w14:schemeClr w14:val="tx1"/>
            </w14:solidFill>
          </w14:textFill>
        </w:rPr>
        <w:t>柱温：</w:t>
      </w:r>
      <w:r>
        <w:rPr>
          <w:color w:val="000000" w:themeColor="text1"/>
          <w:kern w:val="0"/>
          <w:szCs w:val="20"/>
          <w14:textFill>
            <w14:solidFill>
              <w14:schemeClr w14:val="tx1"/>
            </w14:solidFill>
          </w14:textFill>
        </w:rPr>
        <w:t>60 ºC</w:t>
      </w:r>
      <w:r>
        <w:rPr>
          <w:rFonts w:hint="eastAsia"/>
          <w:color w:val="000000" w:themeColor="text1"/>
          <w:kern w:val="0"/>
          <w:szCs w:val="20"/>
          <w14:textFill>
            <w14:solidFill>
              <w14:schemeClr w14:val="tx1"/>
            </w14:solidFill>
          </w14:textFill>
        </w:rPr>
        <w:t>；</w:t>
      </w:r>
    </w:p>
    <w:p>
      <w:pPr>
        <w:pStyle w:val="141"/>
        <w:numPr>
          <w:ilvl w:val="0"/>
          <w:numId w:val="19"/>
        </w:numPr>
        <w:spacing w:line="300" w:lineRule="auto"/>
        <w:ind w:firstLineChars="0"/>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进样量：</w:t>
      </w:r>
      <w:r>
        <w:rPr>
          <w:color w:val="000000" w:themeColor="text1"/>
          <w:kern w:val="0"/>
          <w:szCs w:val="20"/>
          <w14:textFill>
            <w14:solidFill>
              <w14:schemeClr w14:val="tx1"/>
            </w14:solidFill>
          </w14:textFill>
        </w:rPr>
        <w:t xml:space="preserve">30 </w:t>
      </w:r>
      <w:r>
        <w:rPr/>
        <w:sym w:font="Symbol" w:char="F06D"/>
      </w:r>
      <w:r>
        <w:rPr>
          <w:color w:val="000000" w:themeColor="text1"/>
          <w:kern w:val="0"/>
          <w:szCs w:val="20"/>
          <w14:textFill>
            <w14:solidFill>
              <w14:schemeClr w14:val="tx1"/>
            </w14:solidFill>
          </w14:textFill>
        </w:rPr>
        <w:t>L</w:t>
      </w:r>
      <w:r>
        <w:rPr>
          <w:rFonts w:hint="eastAsia"/>
          <w:color w:val="000000" w:themeColor="text1"/>
          <w:kern w:val="0"/>
          <w:szCs w:val="20"/>
          <w14:textFill>
            <w14:solidFill>
              <w14:schemeClr w14:val="tx1"/>
            </w14:solidFill>
          </w14:textFill>
        </w:rPr>
        <w:t xml:space="preserve">; </w:t>
      </w:r>
    </w:p>
    <w:p>
      <w:pPr>
        <w:pStyle w:val="141"/>
        <w:numPr>
          <w:ilvl w:val="0"/>
          <w:numId w:val="19"/>
        </w:numPr>
        <w:spacing w:line="300" w:lineRule="auto"/>
        <w:ind w:firstLineChars="0"/>
        <w:rPr>
          <w:color w:val="000000" w:themeColor="text1"/>
          <w:szCs w:val="20"/>
          <w14:textFill>
            <w14:solidFill>
              <w14:schemeClr w14:val="tx1"/>
            </w14:solidFill>
          </w14:textFill>
        </w:rPr>
      </w:pPr>
      <w:r>
        <w:rPr>
          <w:rFonts w:hint="eastAsia"/>
          <w:color w:val="000000" w:themeColor="text1"/>
          <w:kern w:val="0"/>
          <w:szCs w:val="20"/>
          <w14:textFill>
            <w14:solidFill>
              <w14:schemeClr w14:val="tx1"/>
            </w14:solidFill>
          </w14:textFill>
        </w:rPr>
        <w:t>流动相：</w:t>
      </w:r>
      <w:r>
        <w:rPr>
          <w:color w:val="000000" w:themeColor="text1"/>
          <w:kern w:val="0"/>
          <w:szCs w:val="20"/>
          <w14:textFill>
            <w14:solidFill>
              <w14:schemeClr w14:val="tx1"/>
            </w14:solidFill>
          </w14:textFill>
        </w:rPr>
        <w:t>A</w:t>
      </w:r>
      <w:r>
        <w:rPr>
          <w:rFonts w:hint="eastAsia"/>
          <w:color w:val="000000" w:themeColor="text1"/>
          <w:kern w:val="0"/>
          <w:szCs w:val="20"/>
          <w14:textFill>
            <w14:solidFill>
              <w14:schemeClr w14:val="tx1"/>
            </w14:solidFill>
          </w14:textFill>
        </w:rPr>
        <w:t>：三氟乙酸溶液（</w:t>
      </w:r>
      <w:r>
        <w:rPr>
          <w:color w:val="000000" w:themeColor="text1"/>
          <w:kern w:val="0"/>
          <w:szCs w:val="20"/>
          <w14:textFill>
            <w14:solidFill>
              <w14:schemeClr w14:val="tx1"/>
            </w14:solidFill>
          </w14:textFill>
        </w:rPr>
        <w:t>5.2</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B</w:t>
      </w:r>
      <w:r>
        <w:rPr>
          <w:rFonts w:hint="eastAsia"/>
          <w:color w:val="000000" w:themeColor="text1"/>
          <w:kern w:val="0"/>
          <w:szCs w:val="20"/>
          <w14:textFill>
            <w14:solidFill>
              <w14:schemeClr w14:val="tx1"/>
            </w14:solidFill>
          </w14:textFill>
        </w:rPr>
        <w:t>：三氟乙酸乙腈溶液（</w:t>
      </w:r>
      <w:r>
        <w:rPr>
          <w:color w:val="000000" w:themeColor="text1"/>
          <w:kern w:val="0"/>
          <w:szCs w:val="20"/>
          <w14:textFill>
            <w14:solidFill>
              <w14:schemeClr w14:val="tx1"/>
            </w14:solidFill>
          </w14:textFill>
        </w:rPr>
        <w:t>5.3</w:t>
      </w:r>
      <w:r>
        <w:rPr>
          <w:rFonts w:hint="eastAsia"/>
          <w:color w:val="000000" w:themeColor="text1"/>
          <w:kern w:val="0"/>
          <w:szCs w:val="20"/>
          <w14:textFill>
            <w14:solidFill>
              <w14:schemeClr w14:val="tx1"/>
            </w14:solidFill>
          </w14:textFill>
        </w:rPr>
        <w:t>）；梯度洗脱条件见表</w:t>
      </w:r>
      <w:r>
        <w:rPr>
          <w:color w:val="000000" w:themeColor="text1"/>
          <w:kern w:val="0"/>
          <w:szCs w:val="20"/>
          <w14:textFill>
            <w14:solidFill>
              <w14:schemeClr w14:val="tx1"/>
            </w14:solidFill>
          </w14:textFill>
        </w:rPr>
        <w:t>1</w:t>
      </w:r>
      <w:r>
        <w:rPr>
          <w:rFonts w:hint="eastAsia"/>
          <w:color w:val="000000" w:themeColor="text1"/>
          <w:kern w:val="0"/>
          <w:szCs w:val="20"/>
          <w14:textFill>
            <w14:solidFill>
              <w14:schemeClr w14:val="tx1"/>
            </w14:solidFill>
          </w14:textFill>
        </w:rPr>
        <w:t>。</w:t>
      </w:r>
    </w:p>
    <w:p>
      <w:pPr>
        <w:widowControl w:val="0"/>
        <w:spacing w:line="300" w:lineRule="auto"/>
        <w:ind w:firstLine="420" w:firstLineChars="20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表1  梯度洗脱条件</w:t>
      </w:r>
    </w:p>
    <w:tbl>
      <w:tblPr>
        <w:tblStyle w:val="32"/>
        <w:tblW w:w="37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437"/>
        <w:gridCol w:w="2323"/>
        <w:gridCol w:w="24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时间</w:t>
            </w:r>
            <w:r>
              <w:rPr>
                <w:color w:val="000000" w:themeColor="text1"/>
                <w14:textFill>
                  <w14:solidFill>
                    <w14:schemeClr w14:val="tx1"/>
                  </w14:solidFill>
                </w14:textFill>
              </w:rPr>
              <w:t>/min</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0</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95</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6.5</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62</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62</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15.5</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95</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exact"/>
          <w:jc w:val="center"/>
        </w:trPr>
        <w:tc>
          <w:tcPr>
            <w:tcW w:w="169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1612"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95</w:t>
            </w:r>
          </w:p>
        </w:tc>
        <w:tc>
          <w:tcPr>
            <w:tcW w:w="1696" w:type="pct"/>
            <w:shd w:val="clear" w:color="auto" w:fill="auto"/>
            <w:vAlign w:val="center"/>
          </w:tcPr>
          <w:p>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r>
    </w:tbl>
    <w:p>
      <w:pPr>
        <w:widowControl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8.2.2  测定</w:t>
      </w:r>
    </w:p>
    <w:p>
      <w:pPr>
        <w:autoSpaceDE w:val="0"/>
        <w:autoSpaceDN w:val="0"/>
        <w:spacing w:line="300" w:lineRule="auto"/>
        <w:rPr>
          <w:rFonts w:eastAsia="黑体"/>
        </w:rPr>
      </w:pPr>
      <w:r>
        <w:rPr>
          <w:rFonts w:hint="eastAsia" w:eastAsia="黑体"/>
        </w:rPr>
        <w:t>8</w:t>
      </w:r>
      <w:r>
        <w:rPr>
          <w:rFonts w:eastAsia="黑体"/>
        </w:rPr>
        <w:t>.</w:t>
      </w:r>
      <w:r>
        <w:rPr>
          <w:rFonts w:hint="eastAsia" w:eastAsia="黑体"/>
        </w:rPr>
        <w:t>2</w:t>
      </w:r>
      <w:r>
        <w:rPr>
          <w:rFonts w:eastAsia="黑体"/>
        </w:rPr>
        <w:t>.</w:t>
      </w:r>
      <w:r>
        <w:rPr>
          <w:rFonts w:hint="eastAsia" w:eastAsia="黑体"/>
        </w:rPr>
        <w:t>2.</w:t>
      </w:r>
      <w:r>
        <w:rPr>
          <w:rFonts w:eastAsia="黑体"/>
        </w:rPr>
        <w:t>1 标准系列溶液和试样溶液测定</w:t>
      </w:r>
    </w:p>
    <w:p>
      <w:pPr>
        <w:pStyle w:val="23"/>
        <w:spacing w:line="360" w:lineRule="auto"/>
        <w:rPr>
          <w:rFonts w:ascii="Times New Roman"/>
        </w:rPr>
      </w:pPr>
      <w:r>
        <w:rPr>
          <w:rFonts w:ascii="Times New Roman"/>
        </w:rPr>
        <w:t>在仪器的最佳条件下，分别取</w:t>
      </w:r>
      <w:r>
        <w:rPr>
          <w:rFonts w:hint="eastAsia" w:ascii="Times New Roman"/>
        </w:rPr>
        <w:t>混合</w:t>
      </w:r>
      <w:r>
        <w:rPr>
          <w:rFonts w:ascii="Times New Roman"/>
        </w:rPr>
        <w:t>标准系列溶液（</w:t>
      </w:r>
      <w:r>
        <w:rPr>
          <w:rFonts w:hint="eastAsia" w:ascii="Times New Roman"/>
        </w:rPr>
        <w:t>5</w:t>
      </w:r>
      <w:r>
        <w:rPr>
          <w:rFonts w:ascii="Times New Roman"/>
        </w:rPr>
        <w:t>.</w:t>
      </w:r>
      <w:r>
        <w:rPr>
          <w:rFonts w:hint="eastAsia" w:ascii="Times New Roman"/>
        </w:rPr>
        <w:t>6</w:t>
      </w:r>
      <w:r>
        <w:rPr>
          <w:rFonts w:ascii="Times New Roman"/>
        </w:rPr>
        <w:t>）和试样溶液（</w:t>
      </w:r>
      <w:r>
        <w:rPr>
          <w:rFonts w:hint="eastAsia" w:ascii="Times New Roman"/>
        </w:rPr>
        <w:t>8</w:t>
      </w:r>
      <w:r>
        <w:rPr>
          <w:rFonts w:ascii="Times New Roman"/>
        </w:rPr>
        <w:t>.</w:t>
      </w:r>
      <w:r>
        <w:rPr>
          <w:rFonts w:hint="eastAsia" w:ascii="Times New Roman"/>
        </w:rPr>
        <w:t>1</w:t>
      </w:r>
      <w:r>
        <w:rPr>
          <w:rFonts w:ascii="Times New Roman"/>
        </w:rPr>
        <w:t>）上机测定。</w:t>
      </w:r>
      <w:r>
        <w:rPr>
          <w:rFonts w:ascii="Times New Roman"/>
          <w:color w:val="000000" w:themeColor="text1"/>
          <w14:textFill>
            <w14:solidFill>
              <w14:schemeClr w14:val="tx1"/>
            </w14:solidFill>
          </w14:textFill>
        </w:rPr>
        <w:t>α-乳白蛋白和β-乳球蛋白</w:t>
      </w:r>
      <w:r>
        <w:rPr>
          <w:rFonts w:ascii="Times New Roman"/>
        </w:rPr>
        <w:t>标准溶液的液相色谱图见附录A</w:t>
      </w:r>
      <w:r>
        <w:rPr>
          <w:rFonts w:hint="eastAsia" w:ascii="Times New Roman"/>
        </w:rPr>
        <w:t>，</w:t>
      </w:r>
      <w:r>
        <w:rPr>
          <w:rFonts w:ascii="Times New Roman"/>
          <w:color w:val="000000" w:themeColor="text1"/>
          <w14:textFill>
            <w14:solidFill>
              <w14:schemeClr w14:val="tx1"/>
            </w14:solidFill>
          </w14:textFill>
        </w:rPr>
        <w:t>β-乳球蛋白</w:t>
      </w:r>
      <w:r>
        <w:rPr>
          <w:rFonts w:hint="eastAsia" w:ascii="Times New Roman"/>
          <w:color w:val="000000" w:themeColor="text1"/>
          <w14:textFill>
            <w14:solidFill>
              <w14:schemeClr w14:val="tx1"/>
            </w14:solidFill>
          </w14:textFill>
        </w:rPr>
        <w:t>有</w:t>
      </w:r>
      <w:r>
        <w:rPr>
          <w:rFonts w:ascii="Times New Roman"/>
          <w:color w:val="000000" w:themeColor="text1"/>
          <w14:textFill>
            <w14:solidFill>
              <w14:schemeClr w14:val="tx1"/>
            </w14:solidFill>
          </w14:textFill>
        </w:rPr>
        <w:t>β</w:t>
      </w:r>
      <w:r>
        <w:rPr>
          <w:rFonts w:hint="eastAsia" w:ascii="Times New Roman"/>
          <w:color w:val="000000" w:themeColor="text1"/>
          <w14:textFill>
            <w14:solidFill>
              <w14:schemeClr w14:val="tx1"/>
            </w14:solidFill>
          </w14:textFill>
        </w:rPr>
        <w:t>-乳球蛋白</w:t>
      </w:r>
      <w:r>
        <w:rPr>
          <w:rFonts w:ascii="Times New Roman"/>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β-乳球蛋白B</w:t>
      </w:r>
      <w:r>
        <w:rPr>
          <w:rFonts w:hint="eastAsia" w:ascii="Times New Roman"/>
          <w:color w:val="000000" w:themeColor="text1"/>
          <w14:textFill>
            <w14:solidFill>
              <w14:schemeClr w14:val="tx1"/>
            </w14:solidFill>
          </w14:textFill>
        </w:rPr>
        <w:t>两个峰</w:t>
      </w:r>
      <w:r>
        <w:rPr>
          <w:rFonts w:ascii="Times New Roman"/>
        </w:rPr>
        <w:t>。</w:t>
      </w:r>
    </w:p>
    <w:p>
      <w:pPr>
        <w:autoSpaceDE w:val="0"/>
        <w:autoSpaceDN w:val="0"/>
        <w:spacing w:line="300" w:lineRule="auto"/>
        <w:rPr>
          <w:rFonts w:eastAsia="黑体"/>
          <w:color w:val="000000" w:themeColor="text1"/>
          <w:kern w:val="0"/>
          <w14:textFill>
            <w14:solidFill>
              <w14:schemeClr w14:val="tx1"/>
            </w14:solidFill>
          </w14:textFill>
        </w:rPr>
      </w:pPr>
      <w:r>
        <w:rPr>
          <w:rFonts w:hint="eastAsia" w:eastAsia="黑体"/>
        </w:rPr>
        <w:t>8</w:t>
      </w:r>
      <w:r>
        <w:rPr>
          <w:rFonts w:eastAsia="黑体"/>
        </w:rPr>
        <w:t>.</w:t>
      </w:r>
      <w:r>
        <w:rPr>
          <w:rFonts w:hint="eastAsia" w:eastAsia="黑体"/>
        </w:rPr>
        <w:t>2</w:t>
      </w:r>
      <w:r>
        <w:rPr>
          <w:rFonts w:eastAsia="黑体"/>
        </w:rPr>
        <w:t>.</w:t>
      </w:r>
      <w:r>
        <w:rPr>
          <w:rFonts w:hint="eastAsia" w:eastAsia="黑体"/>
        </w:rPr>
        <w:t>2.2</w:t>
      </w:r>
      <w:r>
        <w:rPr>
          <w:rFonts w:eastAsia="黑体"/>
          <w:color w:val="000000" w:themeColor="text1"/>
          <w:kern w:val="0"/>
          <w14:textFill>
            <w14:solidFill>
              <w14:schemeClr w14:val="tx1"/>
            </w14:solidFill>
          </w14:textFill>
        </w:rPr>
        <w:t xml:space="preserve"> </w:t>
      </w:r>
      <w:r>
        <w:rPr>
          <w:rFonts w:hint="eastAsia" w:eastAsia="黑体"/>
          <w:color w:val="000000" w:themeColor="text1"/>
          <w:kern w:val="0"/>
          <w14:textFill>
            <w14:solidFill>
              <w14:schemeClr w14:val="tx1"/>
            </w14:solidFill>
          </w14:textFill>
        </w:rPr>
        <w:t>定性</w:t>
      </w:r>
    </w:p>
    <w:p>
      <w:pPr>
        <w:pStyle w:val="23"/>
        <w:spacing w:line="360" w:lineRule="auto"/>
        <w:rPr>
          <w:rFonts w:ascii="Times New Roman"/>
        </w:rPr>
      </w:pPr>
      <w:r>
        <w:rPr>
          <w:rFonts w:ascii="Times New Roman"/>
        </w:rPr>
        <w:t>以保留时间定性，试样溶液中</w:t>
      </w:r>
      <w:r>
        <w:rPr>
          <w:rFonts w:ascii="Times New Roman"/>
          <w:color w:val="000000" w:themeColor="text1"/>
          <w14:textFill>
            <w14:solidFill>
              <w14:schemeClr w14:val="tx1"/>
            </w14:solidFill>
          </w14:textFill>
        </w:rPr>
        <w:t>α-乳白蛋白和β-乳球蛋白</w:t>
      </w:r>
      <w:r>
        <w:rPr>
          <w:rFonts w:ascii="Times New Roman"/>
        </w:rPr>
        <w:t>保留时间应</w:t>
      </w:r>
      <w:r>
        <w:rPr>
          <w:rFonts w:hint="eastAsia" w:ascii="Times New Roman"/>
        </w:rPr>
        <w:t>分别</w:t>
      </w:r>
      <w:r>
        <w:rPr>
          <w:rFonts w:ascii="Times New Roman"/>
        </w:rPr>
        <w:t>与</w:t>
      </w:r>
      <w:r>
        <w:rPr>
          <w:rFonts w:hint="eastAsia" w:ascii="Times New Roman"/>
        </w:rPr>
        <w:t>混合</w:t>
      </w:r>
      <w:r>
        <w:rPr>
          <w:rFonts w:ascii="Times New Roman"/>
        </w:rPr>
        <w:t>标准系列溶液（浓度相当）中</w:t>
      </w:r>
      <w:r>
        <w:rPr>
          <w:rFonts w:ascii="Times New Roman"/>
          <w:color w:val="000000" w:themeColor="text1"/>
          <w14:textFill>
            <w14:solidFill>
              <w14:schemeClr w14:val="tx1"/>
            </w14:solidFill>
          </w14:textFill>
        </w:rPr>
        <w:t>α-乳白蛋白和β-乳球蛋白</w:t>
      </w:r>
      <w:r>
        <w:rPr>
          <w:rFonts w:ascii="Times New Roman"/>
        </w:rPr>
        <w:t>的保留时间一致，其相对偏差在±2.5％之内。</w:t>
      </w:r>
    </w:p>
    <w:p>
      <w:pPr>
        <w:pStyle w:val="23"/>
        <w:ind w:firstLine="0" w:firstLineChars="0"/>
        <w:rPr>
          <w:rFonts w:ascii="Times New Roman" w:eastAsia="黑体"/>
        </w:rPr>
      </w:pPr>
      <w:r>
        <w:rPr>
          <w:rFonts w:hint="eastAsia" w:ascii="Times New Roman" w:eastAsia="黑体"/>
        </w:rPr>
        <w:t>8</w:t>
      </w:r>
      <w:r>
        <w:rPr>
          <w:rFonts w:ascii="Times New Roman" w:eastAsia="黑体"/>
        </w:rPr>
        <w:t>.</w:t>
      </w:r>
      <w:r>
        <w:rPr>
          <w:rFonts w:hint="eastAsia" w:ascii="Times New Roman" w:eastAsia="黑体"/>
        </w:rPr>
        <w:t>2</w:t>
      </w:r>
      <w:r>
        <w:rPr>
          <w:rFonts w:ascii="Times New Roman" w:eastAsia="黑体"/>
        </w:rPr>
        <w:t>.</w:t>
      </w:r>
      <w:r>
        <w:rPr>
          <w:rFonts w:hint="eastAsia" w:ascii="Times New Roman" w:eastAsia="黑体"/>
        </w:rPr>
        <w:t>2.3</w:t>
      </w:r>
      <w:r>
        <w:rPr>
          <w:rFonts w:ascii="Times New Roman" w:eastAsia="黑体"/>
        </w:rPr>
        <w:t xml:space="preserve"> 定量</w:t>
      </w:r>
    </w:p>
    <w:p>
      <w:pPr>
        <w:pStyle w:val="23"/>
        <w:spacing w:line="360" w:lineRule="auto"/>
        <w:rPr>
          <w:rFonts w:ascii="Times New Roman"/>
          <w:color w:val="000000" w:themeColor="text1"/>
          <w:kern w:val="2"/>
          <w:szCs w:val="31"/>
          <w14:textFill>
            <w14:solidFill>
              <w14:schemeClr w14:val="tx1"/>
            </w14:solidFill>
          </w14:textFill>
        </w:rPr>
      </w:pPr>
      <w:r>
        <w:rPr>
          <w:rFonts w:hint="eastAsia" w:ascii="Times New Roman"/>
          <w:color w:val="000000" w:themeColor="text1"/>
          <w:kern w:val="2"/>
          <w:szCs w:val="31"/>
          <w14:textFill>
            <w14:solidFill>
              <w14:schemeClr w14:val="tx1"/>
            </w14:solidFill>
          </w14:textFill>
        </w:rPr>
        <w:t>分别</w:t>
      </w:r>
      <w:r>
        <w:rPr>
          <w:rFonts w:ascii="Times New Roman"/>
          <w:color w:val="000000" w:themeColor="text1"/>
          <w:kern w:val="2"/>
          <w:szCs w:val="31"/>
          <w14:textFill>
            <w14:solidFill>
              <w14:schemeClr w14:val="tx1"/>
            </w14:solidFill>
          </w14:textFill>
        </w:rPr>
        <w:t>以</w:t>
      </w:r>
      <w:r>
        <w:rPr>
          <w:rFonts w:ascii="Times New Roman"/>
          <w:color w:val="000000" w:themeColor="text1"/>
          <w14:textFill>
            <w14:solidFill>
              <w14:schemeClr w14:val="tx1"/>
            </w14:solidFill>
          </w14:textFill>
        </w:rPr>
        <w:t>α-乳白蛋白和β-乳球蛋白</w:t>
      </w:r>
      <w:r>
        <w:rPr>
          <w:rFonts w:ascii="Times New Roman"/>
          <w:color w:val="000000" w:themeColor="text1"/>
          <w:kern w:val="2"/>
          <w:szCs w:val="31"/>
          <w14:textFill>
            <w14:solidFill>
              <w14:schemeClr w14:val="tx1"/>
            </w14:solidFill>
          </w14:textFill>
        </w:rPr>
        <w:t>的浓度为横坐标，色谱峰面积为纵坐标</w:t>
      </w:r>
      <w:r>
        <w:rPr>
          <w:rFonts w:hint="eastAsia" w:ascii="Times New Roman"/>
          <w:color w:val="000000" w:themeColor="text1"/>
          <w14:textFill>
            <w14:solidFill>
              <w14:schemeClr w14:val="tx1"/>
            </w14:solidFill>
          </w14:textFill>
        </w:rPr>
        <w:t>（其中</w:t>
      </w:r>
      <w:r>
        <w:rPr>
          <w:rFonts w:ascii="Times New Roman"/>
          <w:color w:val="000000" w:themeColor="text1"/>
          <w14:textFill>
            <w14:solidFill>
              <w14:schemeClr w14:val="tx1"/>
            </w14:solidFill>
          </w14:textFill>
        </w:rPr>
        <w:t>β-乳球蛋白</w:t>
      </w:r>
      <w:r>
        <w:rPr>
          <w:rFonts w:hint="eastAsia" w:ascii="Times New Roman"/>
          <w:color w:val="000000" w:themeColor="text1"/>
          <w14:textFill>
            <w14:solidFill>
              <w14:schemeClr w14:val="tx1"/>
            </w14:solidFill>
          </w14:textFill>
        </w:rPr>
        <w:t>以</w:t>
      </w:r>
      <w:r>
        <w:rPr>
          <w:rFonts w:ascii="Times New Roman"/>
          <w:color w:val="000000" w:themeColor="text1"/>
          <w14:textFill>
            <w14:solidFill>
              <w14:schemeClr w14:val="tx1"/>
            </w14:solidFill>
          </w14:textFill>
        </w:rPr>
        <w:t>β</w:t>
      </w:r>
      <w:r>
        <w:rPr>
          <w:rFonts w:hint="eastAsia" w:ascii="Times New Roman"/>
          <w:color w:val="000000" w:themeColor="text1"/>
          <w14:textFill>
            <w14:solidFill>
              <w14:schemeClr w14:val="tx1"/>
            </w14:solidFill>
          </w14:textFill>
        </w:rPr>
        <w:t>-乳球蛋白</w:t>
      </w:r>
      <w:r>
        <w:rPr>
          <w:rFonts w:ascii="Times New Roman"/>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β-乳球蛋白B</w:t>
      </w:r>
      <w:r>
        <w:rPr>
          <w:rFonts w:hint="eastAsia" w:ascii="Times New Roman"/>
          <w:color w:val="000000" w:themeColor="text1"/>
          <w14:textFill>
            <w14:solidFill>
              <w14:schemeClr w14:val="tx1"/>
            </w14:solidFill>
          </w14:textFill>
        </w:rPr>
        <w:t>峰面积之和计）</w:t>
      </w:r>
      <w:r>
        <w:rPr>
          <w:rFonts w:ascii="Times New Roman"/>
          <w:color w:val="000000" w:themeColor="text1"/>
          <w:kern w:val="2"/>
          <w:szCs w:val="31"/>
          <w14:textFill>
            <w14:solidFill>
              <w14:schemeClr w14:val="tx1"/>
            </w14:solidFill>
          </w14:textFill>
        </w:rPr>
        <w:t>，绘制标准曲线，其相关系数应不低于0.99。试样溶液中待测物的浓度应在标准曲线的线性范围内。如超出范围，应将试样溶液</w:t>
      </w:r>
      <w:r>
        <w:rPr>
          <w:rFonts w:hint="eastAsia" w:ascii="Times New Roman"/>
          <w:color w:val="000000" w:themeColor="text1"/>
          <w:kern w:val="2"/>
          <w:szCs w:val="31"/>
          <w14:textFill>
            <w14:solidFill>
              <w14:schemeClr w14:val="tx1"/>
            </w14:solidFill>
          </w14:textFill>
        </w:rPr>
        <w:t>用水</w:t>
      </w:r>
      <w:r>
        <w:rPr>
          <w:rFonts w:ascii="Times New Roman"/>
          <w:color w:val="000000" w:themeColor="text1"/>
          <w:kern w:val="2"/>
          <w:szCs w:val="31"/>
          <w14:textFill>
            <w14:solidFill>
              <w14:schemeClr w14:val="tx1"/>
            </w14:solidFill>
          </w14:textFill>
        </w:rPr>
        <w:t>稀释后，重新测定。</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试验数据处理</w:t>
      </w:r>
    </w:p>
    <w:p>
      <w:pPr>
        <w:autoSpaceDE w:val="0"/>
        <w:autoSpaceDN w:val="0"/>
        <w:adjustRightInd w:val="0"/>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试样中α-乳白蛋白</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β-乳球蛋白的</w:t>
      </w:r>
      <w:r>
        <w:rPr>
          <w:rFonts w:hint="eastAsia"/>
          <w:color w:val="000000" w:themeColor="text1"/>
          <w14:textFill>
            <w14:solidFill>
              <w14:schemeClr w14:val="tx1"/>
            </w14:solidFill>
          </w14:textFill>
        </w:rPr>
        <w:t>含量</w:t>
      </w:r>
      <w:r>
        <w:rPr>
          <w:rFonts w:hint="eastAsia"/>
        </w:rPr>
        <w:t>以</w:t>
      </w:r>
      <w:r>
        <w:rPr>
          <w:rFonts w:hint="eastAsia"/>
          <w:i/>
        </w:rPr>
        <w:t>ω</w:t>
      </w:r>
      <w:r>
        <w:rPr>
          <w:i/>
          <w:vertAlign w:val="subscript"/>
        </w:rPr>
        <w:t>i</w:t>
      </w:r>
      <w:r>
        <w:t>计，</w:t>
      </w:r>
      <w:r>
        <w:rPr>
          <w:rFonts w:hint="eastAsia"/>
        </w:rPr>
        <w:t>单位为</w:t>
      </w:r>
      <w:r>
        <w:t>毫克每千克（mg/kg），按</w:t>
      </w:r>
      <w:r>
        <w:rPr>
          <w:rFonts w:hint="eastAsia"/>
          <w:color w:val="000000" w:themeColor="text1"/>
          <w14:textFill>
            <w14:solidFill>
              <w14:schemeClr w14:val="tx1"/>
            </w14:solidFill>
          </w14:textFill>
        </w:rPr>
        <w:t>式（1）</w:t>
      </w:r>
      <w:r>
        <w:t>计算</w:t>
      </w:r>
      <w:r>
        <w:rPr>
          <w:color w:val="000000" w:themeColor="text1"/>
          <w14:textFill>
            <w14:solidFill>
              <w14:schemeClr w14:val="tx1"/>
            </w14:solidFill>
          </w14:textFill>
        </w:rPr>
        <w:t>：</w:t>
      </w:r>
    </w:p>
    <w:p>
      <w:pPr>
        <w:autoSpaceDE w:val="0"/>
        <w:autoSpaceDN w:val="0"/>
        <w:adjustRightInd w:val="0"/>
        <w:spacing w:line="300" w:lineRule="auto"/>
        <w:ind w:firstLine="420" w:firstLineChars="200"/>
        <w:rPr>
          <w:color w:val="000000" w:themeColor="text1"/>
          <w14:textFill>
            <w14:solidFill>
              <w14:schemeClr w14:val="tx1"/>
            </w14:solidFill>
          </w14:textFill>
        </w:rPr>
      </w:pPr>
    </w:p>
    <w:p>
      <w:pPr>
        <w:pStyle w:val="23"/>
        <w:ind w:firstLine="560"/>
        <w:jc w:val="right"/>
        <w:rPr>
          <w:rFonts w:ascii="Times New Roman"/>
        </w:rPr>
      </w:pPr>
      <m:oMath>
        <m:sSub>
          <m:sSubPr>
            <m:ctrlPr>
              <w:rPr>
                <w:rFonts w:ascii="Cambria Math" w:hAnsi="Cambria Math"/>
                <w:i/>
                <w:sz w:val="28"/>
                <w:szCs w:val="28"/>
              </w:rPr>
            </m:ctrlPr>
          </m:sSubPr>
          <m:e>
            <m:r>
              <m:rPr/>
              <w:rPr>
                <w:rFonts w:ascii="Cambria Math" w:hAnsi="Cambria Math"/>
                <w:sz w:val="28"/>
                <w:szCs w:val="28"/>
              </w:rPr>
              <m:t>ω</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sz w:val="28"/>
            <w:szCs w:val="28"/>
          </w:rPr>
          <m:t>=</m:t>
        </m:r>
        <m:f>
          <m:fPr>
            <m:ctrlPr>
              <w:rPr>
                <w:rFonts w:ascii="Cambria Math" w:hAnsi="Cambria Math"/>
                <w:i/>
                <w:sz w:val="28"/>
                <w:szCs w:val="28"/>
              </w:rPr>
            </m:ctrlPr>
          </m:fPr>
          <m:num>
            <m:r>
              <m:rPr/>
              <w:rPr>
                <w:rFonts w:hint="eastAsia" w:ascii="Cambria Math"/>
                <w:sz w:val="28"/>
                <w:szCs w:val="28"/>
              </w:rPr>
              <m:t>ρ</m:t>
            </m:r>
            <m:r>
              <m:rPr/>
              <w:rPr>
                <w:rFonts w:ascii="Cambria Math"/>
                <w:sz w:val="28"/>
                <w:szCs w:val="28"/>
              </w:rPr>
              <m:t>×</m:t>
            </m:r>
            <m:sSub>
              <m:sSubPr>
                <m:ctrlPr>
                  <w:rPr>
                    <w:rFonts w:ascii="Cambria Math" w:hAnsi="Cambria Math"/>
                    <w:i/>
                    <w:sz w:val="28"/>
                    <w:szCs w:val="28"/>
                  </w:rPr>
                </m:ctrlPr>
              </m:sSubPr>
              <m:e>
                <m:r>
                  <m:rPr/>
                  <w:rPr>
                    <w:rFonts w:ascii="Cambria Math"/>
                    <w:sz w:val="28"/>
                    <w:szCs w:val="28"/>
                  </w:rPr>
                  <m:t>V</m:t>
                </m:r>
                <m:ctrlPr>
                  <w:rPr>
                    <w:rFonts w:ascii="Cambria Math" w:hAnsi="Cambria Math"/>
                    <w:i/>
                    <w:sz w:val="28"/>
                    <w:szCs w:val="28"/>
                  </w:rPr>
                </m:ctrlPr>
              </m:e>
              <m:sub>
                <m:r>
                  <m:rPr/>
                  <w:rPr>
                    <w:rFonts w:ascii="Cambria Math"/>
                    <w:sz w:val="28"/>
                    <w:szCs w:val="28"/>
                  </w:rPr>
                  <m:t>3</m:t>
                </m:r>
                <m:ctrlPr>
                  <w:rPr>
                    <w:rFonts w:ascii="Cambria Math" w:hAnsi="Cambria Math"/>
                    <w:i/>
                    <w:sz w:val="28"/>
                    <w:szCs w:val="28"/>
                  </w:rPr>
                </m:ctrlPr>
              </m:sub>
            </m:sSub>
            <m:r>
              <m:rPr/>
              <w:rPr>
                <w:rFonts w:ascii="Cambria Math"/>
                <w:sz w:val="28"/>
                <w:szCs w:val="28"/>
              </w:rPr>
              <m:t>×</m:t>
            </m:r>
            <m:sSub>
              <m:sSubPr>
                <m:ctrlPr>
                  <w:rPr>
                    <w:rFonts w:ascii="Cambria Math" w:hAnsi="Cambria Math"/>
                    <w:i/>
                    <w:sz w:val="28"/>
                    <w:szCs w:val="28"/>
                  </w:rPr>
                </m:ctrlPr>
              </m:sSubPr>
              <m:e>
                <m:r>
                  <m:rPr/>
                  <w:rPr>
                    <w:rFonts w:ascii="Cambria Math"/>
                    <w:sz w:val="28"/>
                    <w:szCs w:val="28"/>
                  </w:rPr>
                  <m:t>V</m:t>
                </m:r>
                <m:ctrlPr>
                  <w:rPr>
                    <w:rFonts w:ascii="Cambria Math" w:hAnsi="Cambria Math"/>
                    <w:i/>
                    <w:sz w:val="28"/>
                    <w:szCs w:val="28"/>
                  </w:rPr>
                </m:ctrlPr>
              </m:e>
              <m:sub>
                <m:r>
                  <m:rPr/>
                  <w:rPr>
                    <w:rFonts w:ascii="Cambria Math"/>
                    <w:sz w:val="28"/>
                    <w:szCs w:val="28"/>
                  </w:rPr>
                  <m:t>1</m:t>
                </m:r>
                <m:ctrlPr>
                  <w:rPr>
                    <w:rFonts w:ascii="Cambria Math" w:hAnsi="Cambria Math"/>
                    <w:i/>
                    <w:sz w:val="28"/>
                    <w:szCs w:val="28"/>
                  </w:rPr>
                </m:ctrlPr>
              </m:sub>
            </m:sSub>
            <m:r>
              <m:rPr/>
              <w:rPr>
                <w:rFonts w:ascii="Cambria Math"/>
                <w:sz w:val="28"/>
                <w:szCs w:val="28"/>
              </w:rPr>
              <m:t>×1000</m:t>
            </m:r>
            <m:ctrlPr>
              <w:rPr>
                <w:rFonts w:ascii="Cambria Math" w:hAnsi="Cambria Math"/>
                <w:i/>
                <w:sz w:val="28"/>
                <w:szCs w:val="28"/>
              </w:rPr>
            </m:ctrlPr>
          </m:num>
          <m:den>
            <m:r>
              <m:rPr/>
              <w:rPr>
                <w:rFonts w:ascii="Cambria Math"/>
                <w:sz w:val="28"/>
                <w:szCs w:val="28"/>
              </w:rPr>
              <m:t>m×</m:t>
            </m:r>
            <m:sSub>
              <m:sSubPr>
                <m:ctrlPr>
                  <w:rPr>
                    <w:rFonts w:ascii="Cambria Math" w:hAnsi="Cambria Math"/>
                    <w:i/>
                    <w:sz w:val="28"/>
                    <w:szCs w:val="28"/>
                  </w:rPr>
                </m:ctrlPr>
              </m:sSubPr>
              <m:e>
                <m:r>
                  <m:rPr/>
                  <w:rPr>
                    <w:rFonts w:ascii="Cambria Math"/>
                    <w:sz w:val="28"/>
                    <w:szCs w:val="28"/>
                  </w:rPr>
                  <m:t>V</m:t>
                </m:r>
                <m:ctrlPr>
                  <w:rPr>
                    <w:rFonts w:ascii="Cambria Math" w:hAnsi="Cambria Math"/>
                    <w:i/>
                    <w:sz w:val="28"/>
                    <w:szCs w:val="28"/>
                  </w:rPr>
                </m:ctrlPr>
              </m:e>
              <m:sub>
                <m:r>
                  <m:rPr/>
                  <w:rPr>
                    <w:rFonts w:ascii="Cambria Math"/>
                    <w:sz w:val="28"/>
                    <w:szCs w:val="28"/>
                  </w:rPr>
                  <m:t>2</m:t>
                </m:r>
                <m:ctrlPr>
                  <w:rPr>
                    <w:rFonts w:ascii="Cambria Math" w:hAnsi="Cambria Math"/>
                    <w:i/>
                    <w:sz w:val="28"/>
                    <w:szCs w:val="28"/>
                  </w:rPr>
                </m:ctrlPr>
              </m:sub>
            </m:sSub>
            <m:r>
              <m:rPr/>
              <w:rPr>
                <w:rFonts w:ascii="Cambria Math"/>
                <w:sz w:val="28"/>
                <w:szCs w:val="28"/>
              </w:rPr>
              <m:t>×1000</m:t>
            </m:r>
            <m:ctrlPr>
              <w:rPr>
                <w:rFonts w:ascii="Cambria Math" w:hAnsi="Cambria Math"/>
                <w:i/>
                <w:sz w:val="28"/>
                <w:szCs w:val="28"/>
              </w:rPr>
            </m:ctrlPr>
          </m:den>
        </m:f>
        <m:r>
          <m:rPr/>
          <w:rPr>
            <w:rFonts w:ascii="Cambria Math"/>
            <w:color w:val="000000" w:themeColor="text1"/>
            <w14:textFill>
              <w14:solidFill>
                <w14:schemeClr w14:val="tx1"/>
              </w14:solidFill>
            </w14:textFill>
          </w:rPr>
          <m:t>×n</m:t>
        </m:r>
      </m:oMath>
      <w:r>
        <w:rPr>
          <w:rFonts w:ascii="Times New Roman"/>
        </w:rPr>
        <w:t>……………………………………………………（1）</w:t>
      </w:r>
    </w:p>
    <w:p>
      <w:pPr>
        <w:spacing w:line="300" w:lineRule="auto"/>
        <w:jc w:val="center"/>
        <w:rPr>
          <w:color w:val="000000" w:themeColor="text1"/>
          <w:position w:val="-24"/>
          <w14:textFill>
            <w14:solidFill>
              <w14:schemeClr w14:val="tx1"/>
            </w14:solidFill>
          </w14:textFill>
        </w:rPr>
      </w:pPr>
    </w:p>
    <w:p>
      <w:pPr>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式中：</w:t>
      </w:r>
    </w:p>
    <w:p>
      <w:pPr>
        <w:spacing w:line="300" w:lineRule="auto"/>
        <w:ind w:firstLine="420" w:firstLineChars="200"/>
        <w:rPr>
          <w:color w:val="000000" w:themeColor="text1"/>
          <w14:textFill>
            <w14:solidFill>
              <w14:schemeClr w14:val="tx1"/>
            </w14:solidFill>
          </w14:textFill>
        </w:rPr>
      </w:pPr>
      <w:r>
        <w:rPr>
          <w:rFonts w:hint="eastAsia"/>
          <w:i/>
          <w:color w:val="000000" w:themeColor="text1"/>
          <w14:textFill>
            <w14:solidFill>
              <w14:schemeClr w14:val="tx1"/>
            </w14:solidFill>
          </w14:textFill>
        </w:rPr>
        <w:t>ρ</w:t>
      </w:r>
      <w:r>
        <w:rPr>
          <w:color w:val="000000" w:themeColor="text1"/>
          <w14:textFill>
            <w14:solidFill>
              <w14:schemeClr w14:val="tx1"/>
            </w14:solidFill>
          </w14:textFill>
        </w:rPr>
        <w:t>——被测组分曲线计算浓度，单位为毫克每升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mg/L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V</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上机液</w:t>
      </w:r>
      <w:r>
        <w:rPr>
          <w:color w:val="000000" w:themeColor="text1"/>
          <w14:textFill>
            <w14:solidFill>
              <w14:schemeClr w14:val="tx1"/>
            </w14:solidFill>
          </w14:textFill>
        </w:rPr>
        <w:t>定容体积，单位为毫升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V</w:t>
      </w:r>
      <w:r>
        <w:rPr>
          <w:color w:val="000000" w:themeColor="text1"/>
          <w:vertAlign w:val="subscript"/>
          <w14:textFill>
            <w14:solidFill>
              <w14:schemeClr w14:val="tx1"/>
            </w14:solidFill>
          </w14:textFill>
        </w:rPr>
        <w:t xml:space="preserve">1 </w:t>
      </w:r>
      <w:r>
        <w:rPr>
          <w:color w:val="000000" w:themeColor="text1"/>
          <w14:textFill>
            <w14:solidFill>
              <w14:schemeClr w14:val="tx1"/>
            </w14:solidFill>
          </w14:textFill>
        </w:rPr>
        <w:t>——试样处理液体积，单位为毫升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 xml:space="preserve">m </w:t>
      </w:r>
      <w:r>
        <w:rPr>
          <w:color w:val="000000" w:themeColor="text1"/>
          <w14:textFill>
            <w14:solidFill>
              <w14:schemeClr w14:val="tx1"/>
            </w14:solidFill>
          </w14:textFill>
        </w:rPr>
        <w:t>——试样质量，单位为克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V</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吸取</w:t>
      </w:r>
      <w:r>
        <w:rPr>
          <w:color w:val="000000" w:themeColor="text1"/>
          <w14:textFill>
            <w14:solidFill>
              <w14:schemeClr w14:val="tx1"/>
            </w14:solidFill>
          </w14:textFill>
        </w:rPr>
        <w:t>上清液体积，单位为毫升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1000——换算系数</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n</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超出曲线范围后的</w:t>
      </w:r>
      <w:r>
        <w:rPr>
          <w:color w:val="000000" w:themeColor="text1"/>
          <w14:textFill>
            <w14:solidFill>
              <w14:schemeClr w14:val="tx1"/>
            </w14:solidFill>
          </w14:textFill>
        </w:rPr>
        <w:t>稀释倍数</w:t>
      </w:r>
      <w:r>
        <w:rPr>
          <w:rFonts w:hint="eastAsia"/>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t>测定结果以平行测定的算术平均值表示，计算结果保留</w:t>
      </w:r>
      <w:r>
        <w:rPr>
          <w:rFonts w:hint="eastAsia"/>
        </w:rPr>
        <w:t>三位有效数字</w:t>
      </w:r>
      <w:r>
        <w:rPr>
          <w:color w:val="000000" w:themeColor="text1"/>
          <w14:textFill>
            <w14:solidFill>
              <w14:schemeClr w14:val="tx1"/>
            </w14:solidFill>
          </w14:textFill>
        </w:rPr>
        <w:t>。</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精密度</w:t>
      </w:r>
    </w:p>
    <w:p>
      <w:pPr>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在重复性条件下获得的两次独立测试结果的绝对差值不大于算术平均值的10</w:t>
      </w:r>
      <w:r>
        <w:rPr>
          <w:rFonts w:hint="eastAsia"/>
          <w:color w:val="000000" w:themeColor="text1"/>
          <w:kern w:val="0"/>
          <w:szCs w:val="20"/>
          <w14:textFill>
            <w14:solidFill>
              <w14:schemeClr w14:val="tx1"/>
            </w14:solidFill>
          </w14:textFill>
        </w:rPr>
        <w:t xml:space="preserve"> </w:t>
      </w:r>
      <w:r>
        <w:rPr>
          <w:color w:val="000000" w:themeColor="text1"/>
          <w:kern w:val="0"/>
          <w:szCs w:val="20"/>
          <w14:textFill>
            <w14:solidFill>
              <w14:schemeClr w14:val="tx1"/>
            </w14:solidFill>
          </w14:textFill>
        </w:rPr>
        <w:t>%。</w:t>
      </w:r>
    </w:p>
    <w:p>
      <w:pPr>
        <w:pStyle w:val="45"/>
        <w:numPr>
          <w:ilvl w:val="0"/>
          <w:numId w:val="0"/>
        </w:numPr>
        <w:spacing w:before="312" w:after="312"/>
        <w:jc w:val="center"/>
        <w:rPr>
          <w:rFonts w:ascii="Times New Roman"/>
          <w:color w:val="000000" w:themeColor="text1"/>
          <w:sz w:val="24"/>
          <w:szCs w:val="24"/>
          <w14:textFill>
            <w14:solidFill>
              <w14:schemeClr w14:val="tx1"/>
            </w14:solidFill>
          </w14:textFill>
        </w:rPr>
      </w:pPr>
      <w:r>
        <w:rPr>
          <w:rFonts w:ascii="Times New Roman"/>
          <w:color w:val="000000" w:themeColor="text1"/>
          <w:sz w:val="24"/>
          <w:szCs w:val="24"/>
          <w14:textFill>
            <w14:solidFill>
              <w14:schemeClr w14:val="tx1"/>
            </w14:solidFill>
          </w14:textFill>
        </w:rPr>
        <w:t>第二法 凝胶</w:t>
      </w:r>
      <w:r>
        <w:rPr>
          <w:rFonts w:hint="eastAsia" w:ascii="Times New Roman"/>
          <w:color w:val="000000" w:themeColor="text1"/>
          <w:sz w:val="24"/>
          <w:szCs w:val="24"/>
          <w14:textFill>
            <w14:solidFill>
              <w14:schemeClr w14:val="tx1"/>
            </w14:solidFill>
          </w14:textFill>
        </w:rPr>
        <w:t>渗透</w:t>
      </w:r>
      <w:r>
        <w:rPr>
          <w:rFonts w:ascii="Times New Roman"/>
          <w:color w:val="000000" w:themeColor="text1"/>
          <w:sz w:val="24"/>
          <w:szCs w:val="24"/>
          <w14:textFill>
            <w14:solidFill>
              <w14:schemeClr w14:val="tx1"/>
            </w14:solidFill>
          </w14:textFill>
        </w:rPr>
        <w:t>色谱法</w:t>
      </w:r>
    </w:p>
    <w:p>
      <w:pPr>
        <w:pStyle w:val="45"/>
        <w:spacing w:before="312" w:after="312"/>
        <w:rPr>
          <w:rFonts w:ascii="Times New Roman"/>
        </w:rPr>
      </w:pPr>
      <w:r>
        <w:rPr>
          <w:rFonts w:ascii="Times New Roman"/>
          <w:color w:val="000000" w:themeColor="text1"/>
          <w:szCs w:val="22"/>
          <w14:textFill>
            <w14:solidFill>
              <w14:schemeClr w14:val="tx1"/>
            </w14:solidFill>
          </w14:textFill>
        </w:rPr>
        <w:t>原理</w:t>
      </w:r>
    </w:p>
    <w:p>
      <w:pPr>
        <w:spacing w:line="360" w:lineRule="auto"/>
        <w:ind w:right="28"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试样</w:t>
      </w:r>
      <w:r>
        <w:rPr>
          <w:rFonts w:hint="eastAsia"/>
          <w:color w:val="000000" w:themeColor="text1"/>
          <w14:textFill>
            <w14:solidFill>
              <w14:schemeClr w14:val="tx1"/>
            </w14:solidFill>
          </w14:textFill>
        </w:rPr>
        <w:t>用水溶解</w:t>
      </w:r>
      <w:r>
        <w:rPr>
          <w:color w:val="000000" w:themeColor="text1"/>
          <w14:textFill>
            <w14:solidFill>
              <w14:schemeClr w14:val="tx1"/>
            </w14:solidFill>
          </w14:textFill>
        </w:rPr>
        <w:t>调节pH至4.60，使酪蛋白和变性的乳清蛋白沉淀，未变性的α-乳白蛋白和β-乳球蛋白仍保留在溶液中。溶液中加入盐酸胍</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β</w:t>
      </w:r>
      <w:r>
        <w:rPr>
          <w:rFonts w:hint="eastAsia"/>
          <w:color w:val="000000" w:themeColor="text1"/>
          <w14:textFill>
            <w14:solidFill>
              <w14:schemeClr w14:val="tx1"/>
            </w14:solidFill>
          </w14:textFill>
        </w:rPr>
        <w:t>-巯基乙醇</w:t>
      </w:r>
      <w:r>
        <w:rPr>
          <w:color w:val="000000" w:themeColor="text1"/>
          <w14:textFill>
            <w14:solidFill>
              <w14:schemeClr w14:val="tx1"/>
            </w14:solidFill>
          </w14:textFill>
        </w:rPr>
        <w:t>，以盐酸胍为变性剂，以β-巯基乙醇为还原剂，断开蛋白质中的硫-硫（S-S）化学键，形成展开的α-乳白蛋白和β-乳球蛋白的单体结构。经凝胶色谱柱分离，</w:t>
      </w:r>
      <w:r>
        <w:rPr>
          <w:rFonts w:hint="eastAsia"/>
          <w:color w:val="000000" w:themeColor="text1"/>
          <w14:textFill>
            <w14:solidFill>
              <w14:schemeClr w14:val="tx1"/>
            </w14:solidFill>
          </w14:textFill>
        </w:rPr>
        <w:t>高效液相色谱测定</w:t>
      </w:r>
      <w:r>
        <w:rPr>
          <w:color w:val="000000" w:themeColor="text1"/>
          <w14:textFill>
            <w14:solidFill>
              <w14:schemeClr w14:val="tx1"/>
            </w14:solidFill>
          </w14:textFill>
        </w:rPr>
        <w:t>，外标法定量</w:t>
      </w:r>
      <w:r>
        <w:rPr>
          <w:rFonts w:hint="eastAsia"/>
          <w:color w:val="000000" w:themeColor="text1"/>
          <w14:textFill>
            <w14:solidFill>
              <w14:schemeClr w14:val="tx1"/>
            </w14:solidFill>
          </w14:textFill>
        </w:rPr>
        <w:t>。</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 xml:space="preserve">试剂或材料                                                                                                                                                                                                                                                                                                                                                                                                                                                                                                                                                                                                                                                                                                                                                                                                                                                                                                                                                                                                                                                                                                                                                                                                                                                                                                                                                                                                                                                                                                                                                                                                                                                                                                                                                                                                                                                                                                                                                                                                                                                                                                                                                                                                                                                                                                                                                                                                                                                                                                                                                                                                                                                                                                                                                                                                                                                                                                                                                                                                                                                                                                                                                                                                                                                                                                                                                                                                                                                                                                                                                                                                                                                                                                                                                                                                                                                                                                                                                                                                                                                                                                                                                                                                           </w:t>
      </w:r>
      <w:r>
        <w:rPr>
          <w:rFonts w:ascii="Times New Roman"/>
          <w:color w:val="000000" w:themeColor="text1"/>
          <w:szCs w:val="22"/>
          <w14:textFill>
            <w14:solidFill>
              <w14:schemeClr w14:val="tx1"/>
            </w14:solidFill>
          </w14:textFill>
        </w:rPr>
        <w:t xml:space="preserve">                                                                                                                                                                                                                                                                                                                                                                                                                                                                                                                                                                                                                                                                                                                                                                                                                                                                           </w:t>
      </w:r>
    </w:p>
    <w:p>
      <w:pPr>
        <w:spacing w:line="360" w:lineRule="auto"/>
        <w:ind w:right="28" w:firstLine="424" w:firstLineChars="202"/>
        <w:rPr>
          <w:color w:val="000000" w:themeColor="text1"/>
          <w:kern w:val="0"/>
          <w14:textFill>
            <w14:solidFill>
              <w14:schemeClr w14:val="tx1"/>
            </w14:solidFill>
          </w14:textFill>
        </w:rPr>
      </w:pPr>
      <w:r>
        <w:rPr>
          <w:color w:val="000000" w:themeColor="text1"/>
          <w14:textFill>
            <w14:solidFill>
              <w14:schemeClr w14:val="tx1"/>
            </w14:solidFill>
          </w14:textFill>
        </w:rPr>
        <w:t>除非另有说明，仅使用分析纯试剂</w:t>
      </w:r>
      <w:r>
        <w:rPr>
          <w:color w:val="000000" w:themeColor="text1"/>
          <w:kern w:val="0"/>
          <w14:textFill>
            <w14:solidFill>
              <w14:schemeClr w14:val="tx1"/>
            </w14:solidFill>
          </w14:textFill>
        </w:rPr>
        <w:t>。</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color w:val="000000" w:themeColor="text1"/>
          <w:szCs w:val="31"/>
          <w14:textFill>
            <w14:solidFill>
              <w14:schemeClr w14:val="tx1"/>
            </w14:solidFill>
          </w14:textFill>
        </w:rPr>
        <w:t>水</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GB/T 6682，一级。</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盐酸（</w:t>
      </w:r>
      <w:r>
        <w:rPr>
          <w:color w:val="000000" w:themeColor="text1"/>
          <w:szCs w:val="31"/>
          <w14:textFill>
            <w14:solidFill>
              <w14:schemeClr w14:val="tx1"/>
            </w14:solidFill>
          </w14:textFill>
        </w:rPr>
        <w:t>HCl</w:t>
      </w:r>
      <w:r>
        <w:rPr>
          <w:rFonts w:hint="eastAsia"/>
          <w:color w:val="000000" w:themeColor="text1"/>
          <w:szCs w:val="31"/>
          <w14:textFill>
            <w14:solidFill>
              <w14:schemeClr w14:val="tx1"/>
            </w14:solidFill>
          </w14:textFill>
        </w:rPr>
        <w:t>）：取414.</w:t>
      </w:r>
      <w:r>
        <w:rPr>
          <w:color w:val="000000" w:themeColor="text1"/>
          <w:szCs w:val="31"/>
          <w14:textFill>
            <w14:solidFill>
              <w14:schemeClr w14:val="tx1"/>
            </w14:solidFill>
          </w14:textFill>
        </w:rPr>
        <w:t>49 mL</w:t>
      </w:r>
      <w:r>
        <w:rPr>
          <w:rFonts w:hint="eastAsia"/>
          <w:color w:val="000000" w:themeColor="text1"/>
          <w:szCs w:val="31"/>
          <w14:textFill>
            <w14:solidFill>
              <w14:schemeClr w14:val="tx1"/>
            </w14:solidFill>
          </w14:textFill>
        </w:rPr>
        <w:t>的</w:t>
      </w:r>
      <w:r>
        <w:rPr>
          <w:color w:val="000000" w:themeColor="text1"/>
          <w:szCs w:val="31"/>
          <w14:textFill>
            <w14:solidFill>
              <w14:schemeClr w14:val="tx1"/>
            </w14:solidFill>
          </w14:textFill>
        </w:rPr>
        <w:t>浓盐酸（</w:t>
      </w:r>
      <w:r>
        <w:rPr>
          <w:rFonts w:hint="eastAsia"/>
          <w:color w:val="000000" w:themeColor="text1"/>
          <w:szCs w:val="31"/>
          <w14:textFill>
            <w14:solidFill>
              <w14:schemeClr w14:val="tx1"/>
            </w14:solidFill>
          </w14:textFill>
        </w:rPr>
        <w:t>含量</w:t>
      </w:r>
      <w:r>
        <w:rPr>
          <w:color w:val="000000" w:themeColor="text1"/>
          <w:szCs w:val="31"/>
          <w14:textFill>
            <w14:solidFill>
              <w14:schemeClr w14:val="tx1"/>
            </w14:solidFill>
          </w14:textFill>
        </w:rPr>
        <w:t>36.0%-38.0%）</w:t>
      </w:r>
      <w:r>
        <w:rPr>
          <w:rFonts w:hint="eastAsia"/>
          <w:color w:val="000000" w:themeColor="text1"/>
          <w:szCs w:val="31"/>
          <w14:textFill>
            <w14:solidFill>
              <w14:schemeClr w14:val="tx1"/>
            </w14:solidFill>
          </w14:textFill>
        </w:rPr>
        <w:t>，</w:t>
      </w:r>
      <w:r>
        <w:rPr>
          <w:color w:val="000000" w:themeColor="text1"/>
          <w:szCs w:val="31"/>
          <w14:textFill>
            <w14:solidFill>
              <w14:schemeClr w14:val="tx1"/>
            </w14:solidFill>
          </w14:textFill>
        </w:rPr>
        <w:t>用水稀释</w:t>
      </w:r>
      <w:r>
        <w:rPr>
          <w:rFonts w:hint="eastAsia"/>
          <w:color w:val="000000" w:themeColor="text1"/>
          <w:szCs w:val="31"/>
          <w14:textFill>
            <w14:solidFill>
              <w14:schemeClr w14:val="tx1"/>
            </w14:solidFill>
          </w14:textFill>
        </w:rPr>
        <w:t>定容</w:t>
      </w:r>
      <w:r>
        <w:rPr>
          <w:color w:val="000000" w:themeColor="text1"/>
          <w:szCs w:val="31"/>
          <w14:textFill>
            <w14:solidFill>
              <w14:schemeClr w14:val="tx1"/>
            </w14:solidFill>
          </w14:textFill>
        </w:rPr>
        <w:t>至</w:t>
      </w:r>
      <w:r>
        <w:rPr>
          <w:rFonts w:hint="eastAsia"/>
          <w:color w:val="000000" w:themeColor="text1"/>
          <w:szCs w:val="31"/>
          <w14:textFill>
            <w14:solidFill>
              <w14:schemeClr w14:val="tx1"/>
            </w14:solidFill>
          </w14:textFill>
        </w:rPr>
        <w:t xml:space="preserve">500 </w:t>
      </w:r>
      <w:r>
        <w:rPr>
          <w:color w:val="000000" w:themeColor="text1"/>
          <w:szCs w:val="31"/>
          <w14:textFill>
            <w14:solidFill>
              <w14:schemeClr w14:val="tx1"/>
            </w14:solidFill>
          </w14:textFill>
        </w:rPr>
        <w:t>mL.</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color w:val="000000" w:themeColor="text1"/>
          <w:szCs w:val="31"/>
          <w14:textFill>
            <w14:solidFill>
              <w14:schemeClr w14:val="tx1"/>
            </w14:solidFill>
          </w14:textFill>
        </w:rPr>
        <w:t>β-</w:t>
      </w:r>
      <w:r>
        <w:rPr>
          <w:rFonts w:hint="eastAsia"/>
          <w:color w:val="000000" w:themeColor="text1"/>
          <w:szCs w:val="31"/>
          <w14:textFill>
            <w14:solidFill>
              <w14:schemeClr w14:val="tx1"/>
            </w14:solidFill>
          </w14:textFill>
        </w:rPr>
        <w:t>巯基乙醇（</w:t>
      </w:r>
      <w:r>
        <w:rPr>
          <w:color w:val="000000" w:themeColor="text1"/>
          <w:szCs w:val="31"/>
          <w14:textFill>
            <w14:solidFill>
              <w14:schemeClr w14:val="tx1"/>
            </w14:solidFill>
          </w14:textFill>
        </w:rPr>
        <w:t>C</w:t>
      </w:r>
      <w:r>
        <w:rPr>
          <w:color w:val="000000" w:themeColor="text1"/>
          <w:szCs w:val="31"/>
          <w:vertAlign w:val="subscript"/>
          <w14:textFill>
            <w14:solidFill>
              <w14:schemeClr w14:val="tx1"/>
            </w14:solidFill>
          </w14:textFill>
        </w:rPr>
        <w:t>2</w:t>
      </w:r>
      <w:r>
        <w:rPr>
          <w:color w:val="000000" w:themeColor="text1"/>
          <w:szCs w:val="31"/>
          <w14:textFill>
            <w14:solidFill>
              <w14:schemeClr w14:val="tx1"/>
            </w14:solidFill>
          </w14:textFill>
        </w:rPr>
        <w:t>H</w:t>
      </w:r>
      <w:r>
        <w:rPr>
          <w:color w:val="000000" w:themeColor="text1"/>
          <w:szCs w:val="31"/>
          <w:vertAlign w:val="subscript"/>
          <w14:textFill>
            <w14:solidFill>
              <w14:schemeClr w14:val="tx1"/>
            </w14:solidFill>
          </w14:textFill>
        </w:rPr>
        <w:t>6</w:t>
      </w:r>
      <w:r>
        <w:rPr>
          <w:color w:val="000000" w:themeColor="text1"/>
          <w:szCs w:val="31"/>
          <w14:textFill>
            <w14:solidFill>
              <w14:schemeClr w14:val="tx1"/>
            </w14:solidFill>
          </w14:textFill>
        </w:rPr>
        <w:t>OS）。</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氢氧化钠溶液（</w:t>
      </w:r>
      <w:r>
        <w:rPr>
          <w:color w:val="000000" w:themeColor="text1"/>
          <w:szCs w:val="31"/>
          <w14:textFill>
            <w14:solidFill>
              <w14:schemeClr w14:val="tx1"/>
            </w14:solidFill>
          </w14:textFill>
        </w:rPr>
        <w:t>500 g/L</w:t>
      </w:r>
      <w:r>
        <w:rPr>
          <w:rFonts w:hint="eastAsia"/>
          <w:color w:val="000000" w:themeColor="text1"/>
          <w:szCs w:val="31"/>
          <w14:textFill>
            <w14:solidFill>
              <w14:schemeClr w14:val="tx1"/>
            </w14:solidFill>
          </w14:textFill>
        </w:rPr>
        <w:t>）：称取</w:t>
      </w:r>
      <w:r>
        <w:rPr>
          <w:color w:val="000000" w:themeColor="text1"/>
          <w:szCs w:val="31"/>
          <w14:textFill>
            <w14:solidFill>
              <w14:schemeClr w14:val="tx1"/>
            </w14:solidFill>
          </w14:textFill>
        </w:rPr>
        <w:t>250 g</w:t>
      </w:r>
      <w:r>
        <w:rPr>
          <w:rFonts w:hint="eastAsia"/>
          <w:color w:val="000000" w:themeColor="text1"/>
          <w:szCs w:val="31"/>
          <w14:textFill>
            <w14:solidFill>
              <w14:schemeClr w14:val="tx1"/>
            </w14:solidFill>
          </w14:textFill>
        </w:rPr>
        <w:t>氢氧化钠，加入适量水溶解，冷却至室温，定容至</w:t>
      </w:r>
      <w:r>
        <w:rPr>
          <w:color w:val="000000" w:themeColor="text1"/>
          <w:szCs w:val="31"/>
          <w14:textFill>
            <w14:solidFill>
              <w14:schemeClr w14:val="tx1"/>
            </w14:solidFill>
          </w14:textFill>
        </w:rPr>
        <w:t>500 mL</w:t>
      </w:r>
      <w:r>
        <w:rPr>
          <w:rFonts w:hint="eastAsia"/>
          <w:color w:val="000000" w:themeColor="text1"/>
          <w:szCs w:val="31"/>
          <w14:textFill>
            <w14:solidFill>
              <w14:schemeClr w14:val="tx1"/>
            </w14:solidFill>
          </w14:textFill>
        </w:rPr>
        <w:t>，混匀。</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磷酸盐缓冲溶液：称取</w:t>
      </w:r>
      <w:r>
        <w:rPr>
          <w:color w:val="000000" w:themeColor="text1"/>
          <w:szCs w:val="31"/>
          <w14:textFill>
            <w14:solidFill>
              <w14:schemeClr w14:val="tx1"/>
            </w14:solidFill>
          </w14:textFill>
        </w:rPr>
        <w:t>56.6 g</w:t>
      </w:r>
      <w:r>
        <w:rPr>
          <w:rFonts w:hint="eastAsia"/>
          <w:color w:val="000000" w:themeColor="text1"/>
          <w:szCs w:val="31"/>
          <w14:textFill>
            <w14:solidFill>
              <w14:schemeClr w14:val="tx1"/>
            </w14:solidFill>
          </w14:textFill>
        </w:rPr>
        <w:t>磷酸氢二钠、</w:t>
      </w:r>
      <w:r>
        <w:rPr>
          <w:color w:val="000000" w:themeColor="text1"/>
          <w:szCs w:val="31"/>
          <w14:textFill>
            <w14:solidFill>
              <w14:schemeClr w14:val="tx1"/>
            </w14:solidFill>
          </w14:textFill>
        </w:rPr>
        <w:t>3.5 g</w:t>
      </w:r>
      <w:r>
        <w:rPr>
          <w:rFonts w:hint="eastAsia"/>
          <w:color w:val="000000" w:themeColor="text1"/>
          <w:szCs w:val="31"/>
          <w14:textFill>
            <w14:solidFill>
              <w14:schemeClr w14:val="tx1"/>
            </w14:solidFill>
          </w14:textFill>
        </w:rPr>
        <w:t>磷酸二氢钠和</w:t>
      </w:r>
      <w:r>
        <w:rPr>
          <w:color w:val="000000" w:themeColor="text1"/>
          <w:szCs w:val="31"/>
          <w14:textFill>
            <w14:solidFill>
              <w14:schemeClr w14:val="tx1"/>
            </w14:solidFill>
          </w14:textFill>
        </w:rPr>
        <w:t>2.9 g</w:t>
      </w:r>
      <w:r>
        <w:rPr>
          <w:rFonts w:hint="eastAsia"/>
          <w:color w:val="000000" w:themeColor="text1"/>
          <w:szCs w:val="31"/>
          <w14:textFill>
            <w14:solidFill>
              <w14:schemeClr w14:val="tx1"/>
            </w14:solidFill>
          </w14:textFill>
        </w:rPr>
        <w:t>乙二胺四乙酸，将其溶解到</w:t>
      </w:r>
      <w:r>
        <w:rPr>
          <w:color w:val="000000" w:themeColor="text1"/>
          <w:szCs w:val="31"/>
          <w14:textFill>
            <w14:solidFill>
              <w14:schemeClr w14:val="tx1"/>
            </w14:solidFill>
          </w14:textFill>
        </w:rPr>
        <w:t>800 mL</w:t>
      </w:r>
      <w:r>
        <w:rPr>
          <w:rFonts w:hint="eastAsia"/>
          <w:color w:val="000000" w:themeColor="text1"/>
          <w:szCs w:val="31"/>
          <w14:textFill>
            <w14:solidFill>
              <w14:schemeClr w14:val="tx1"/>
            </w14:solidFill>
          </w14:textFill>
        </w:rPr>
        <w:t>水中，用氢氧化钠溶液（</w:t>
      </w:r>
      <w:r>
        <w:rPr>
          <w:color w:val="000000" w:themeColor="text1"/>
          <w:szCs w:val="31"/>
          <w14:textFill>
            <w14:solidFill>
              <w14:schemeClr w14:val="tx1"/>
            </w14:solidFill>
          </w14:textFill>
        </w:rPr>
        <w:t>12.4</w:t>
      </w:r>
      <w:r>
        <w:rPr>
          <w:rFonts w:hint="eastAsia"/>
          <w:color w:val="000000" w:themeColor="text1"/>
          <w:szCs w:val="31"/>
          <w14:textFill>
            <w14:solidFill>
              <w14:schemeClr w14:val="tx1"/>
            </w14:solidFill>
          </w14:textFill>
        </w:rPr>
        <w:t>）或盐酸（</w:t>
      </w:r>
      <w:r>
        <w:rPr>
          <w:color w:val="000000" w:themeColor="text1"/>
          <w:szCs w:val="31"/>
          <w14:textFill>
            <w14:solidFill>
              <w14:schemeClr w14:val="tx1"/>
            </w14:solidFill>
          </w14:textFill>
        </w:rPr>
        <w:t>12.2</w:t>
      </w:r>
      <w:r>
        <w:rPr>
          <w:rFonts w:hint="eastAsia"/>
          <w:color w:val="000000" w:themeColor="text1"/>
          <w:szCs w:val="31"/>
          <w14:textFill>
            <w14:solidFill>
              <w14:schemeClr w14:val="tx1"/>
            </w14:solidFill>
          </w14:textFill>
        </w:rPr>
        <w:t>）将</w:t>
      </w:r>
      <w:r>
        <w:rPr>
          <w:color w:val="000000" w:themeColor="text1"/>
          <w:szCs w:val="31"/>
          <w14:textFill>
            <w14:solidFill>
              <w14:schemeClr w14:val="tx1"/>
            </w14:solidFill>
          </w14:textFill>
        </w:rPr>
        <w:t>pH</w:t>
      </w:r>
      <w:r>
        <w:rPr>
          <w:rFonts w:hint="eastAsia"/>
          <w:color w:val="000000" w:themeColor="text1"/>
          <w:szCs w:val="31"/>
          <w14:textFill>
            <w14:solidFill>
              <w14:schemeClr w14:val="tx1"/>
            </w14:solidFill>
          </w14:textFill>
        </w:rPr>
        <w:t>值调节到</w:t>
      </w:r>
      <w:r>
        <w:rPr>
          <w:color w:val="000000" w:themeColor="text1"/>
          <w:szCs w:val="31"/>
          <w14:textFill>
            <w14:solidFill>
              <w14:schemeClr w14:val="tx1"/>
            </w14:solidFill>
          </w14:textFill>
        </w:rPr>
        <w:t>7.5 ± 0.1</w:t>
      </w:r>
      <w:r>
        <w:rPr>
          <w:rFonts w:hint="eastAsia"/>
          <w:color w:val="000000" w:themeColor="text1"/>
          <w:szCs w:val="31"/>
          <w14:textFill>
            <w14:solidFill>
              <w14:schemeClr w14:val="tx1"/>
            </w14:solidFill>
          </w14:textFill>
        </w:rPr>
        <w:t>。将溶液转移至</w:t>
      </w:r>
      <w:r>
        <w:rPr>
          <w:color w:val="000000" w:themeColor="text1"/>
          <w:szCs w:val="31"/>
          <w14:textFill>
            <w14:solidFill>
              <w14:schemeClr w14:val="tx1"/>
            </w14:solidFill>
          </w14:textFill>
        </w:rPr>
        <w:t>1L</w:t>
      </w:r>
      <w:r>
        <w:rPr>
          <w:rFonts w:hint="eastAsia"/>
          <w:color w:val="000000" w:themeColor="text1"/>
          <w:szCs w:val="31"/>
          <w14:textFill>
            <w14:solidFill>
              <w14:schemeClr w14:val="tx1"/>
            </w14:solidFill>
          </w14:textFill>
        </w:rPr>
        <w:t>容量瓶，用水定容至刻度，临用现配。</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盐酸胍缓冲溶液：称取</w:t>
      </w:r>
      <w:r>
        <w:rPr>
          <w:color w:val="000000" w:themeColor="text1"/>
          <w:szCs w:val="31"/>
          <w14:textFill>
            <w14:solidFill>
              <w14:schemeClr w14:val="tx1"/>
            </w14:solidFill>
          </w14:textFill>
        </w:rPr>
        <w:t>573 g</w:t>
      </w:r>
      <w:r>
        <w:rPr>
          <w:rFonts w:hint="eastAsia"/>
          <w:color w:val="000000" w:themeColor="text1"/>
          <w:szCs w:val="31"/>
          <w14:textFill>
            <w14:solidFill>
              <w14:schemeClr w14:val="tx1"/>
            </w14:solidFill>
          </w14:textFill>
        </w:rPr>
        <w:t>盐酸胍，置于</w:t>
      </w:r>
      <w:r>
        <w:rPr>
          <w:color w:val="000000" w:themeColor="text1"/>
          <w:szCs w:val="31"/>
          <w14:textFill>
            <w14:solidFill>
              <w14:schemeClr w14:val="tx1"/>
            </w14:solidFill>
          </w14:textFill>
        </w:rPr>
        <w:t>1000 mL</w:t>
      </w:r>
      <w:r>
        <w:rPr>
          <w:rFonts w:hint="eastAsia"/>
          <w:color w:val="000000" w:themeColor="text1"/>
          <w:szCs w:val="31"/>
          <w14:textFill>
            <w14:solidFill>
              <w14:schemeClr w14:val="tx1"/>
            </w14:solidFill>
          </w14:textFill>
        </w:rPr>
        <w:t>烧杯中，添加</w:t>
      </w:r>
      <w:r>
        <w:rPr>
          <w:color w:val="000000" w:themeColor="text1"/>
          <w:szCs w:val="31"/>
          <w14:textFill>
            <w14:solidFill>
              <w14:schemeClr w14:val="tx1"/>
            </w14:solidFill>
          </w14:textFill>
        </w:rPr>
        <w:t>100 mL</w:t>
      </w:r>
      <w:r>
        <w:rPr>
          <w:rFonts w:hint="eastAsia"/>
          <w:color w:val="000000" w:themeColor="text1"/>
          <w:szCs w:val="31"/>
          <w14:textFill>
            <w14:solidFill>
              <w14:schemeClr w14:val="tx1"/>
            </w14:solidFill>
          </w14:textFill>
        </w:rPr>
        <w:t>磷酸盐缓冲溶液（</w:t>
      </w:r>
      <w:r>
        <w:rPr>
          <w:color w:val="000000" w:themeColor="text1"/>
          <w:szCs w:val="31"/>
          <w14:textFill>
            <w14:solidFill>
              <w14:schemeClr w14:val="tx1"/>
            </w14:solidFill>
          </w14:textFill>
        </w:rPr>
        <w:t>12.5</w:t>
      </w:r>
      <w:r>
        <w:rPr>
          <w:rFonts w:hint="eastAsia"/>
          <w:color w:val="000000" w:themeColor="text1"/>
          <w:szCs w:val="31"/>
          <w14:textFill>
            <w14:solidFill>
              <w14:schemeClr w14:val="tx1"/>
            </w14:solidFill>
          </w14:textFill>
        </w:rPr>
        <w:t>），再用水将该溶液稀释到约</w:t>
      </w:r>
      <w:r>
        <w:rPr>
          <w:color w:val="000000" w:themeColor="text1"/>
          <w:szCs w:val="31"/>
          <w14:textFill>
            <w14:solidFill>
              <w14:schemeClr w14:val="tx1"/>
            </w14:solidFill>
          </w14:textFill>
        </w:rPr>
        <w:t>900 mL</w:t>
      </w:r>
      <w:r>
        <w:rPr>
          <w:rFonts w:hint="eastAsia"/>
          <w:color w:val="000000" w:themeColor="text1"/>
          <w:szCs w:val="31"/>
          <w14:textFill>
            <w14:solidFill>
              <w14:schemeClr w14:val="tx1"/>
            </w14:solidFill>
          </w14:textFill>
        </w:rPr>
        <w:t>，同时不停搅拌，用氢氧化钠溶液（</w:t>
      </w:r>
      <w:r>
        <w:rPr>
          <w:color w:val="000000" w:themeColor="text1"/>
          <w:szCs w:val="31"/>
          <w14:textFill>
            <w14:solidFill>
              <w14:schemeClr w14:val="tx1"/>
            </w14:solidFill>
          </w14:textFill>
        </w:rPr>
        <w:t>12.4</w:t>
      </w:r>
      <w:r>
        <w:rPr>
          <w:rFonts w:hint="eastAsia"/>
          <w:color w:val="000000" w:themeColor="text1"/>
          <w:szCs w:val="31"/>
          <w14:textFill>
            <w14:solidFill>
              <w14:schemeClr w14:val="tx1"/>
            </w14:solidFill>
          </w14:textFill>
        </w:rPr>
        <w:t>）调节</w:t>
      </w:r>
      <w:r>
        <w:rPr>
          <w:color w:val="000000" w:themeColor="text1"/>
          <w:szCs w:val="31"/>
          <w14:textFill>
            <w14:solidFill>
              <w14:schemeClr w14:val="tx1"/>
            </w14:solidFill>
          </w14:textFill>
        </w:rPr>
        <w:t>pH</w:t>
      </w:r>
      <w:r>
        <w:rPr>
          <w:rFonts w:hint="eastAsia"/>
          <w:color w:val="000000" w:themeColor="text1"/>
          <w:szCs w:val="31"/>
          <w14:textFill>
            <w14:solidFill>
              <w14:schemeClr w14:val="tx1"/>
            </w14:solidFill>
          </w14:textFill>
        </w:rPr>
        <w:t>值到</w:t>
      </w:r>
      <w:r>
        <w:rPr>
          <w:color w:val="000000" w:themeColor="text1"/>
          <w:szCs w:val="31"/>
          <w14:textFill>
            <w14:solidFill>
              <w14:schemeClr w14:val="tx1"/>
            </w14:solidFill>
          </w14:textFill>
        </w:rPr>
        <w:t>7.5 ± 0.1</w:t>
      </w:r>
      <w:r>
        <w:rPr>
          <w:rFonts w:hint="eastAsia"/>
          <w:color w:val="000000" w:themeColor="text1"/>
          <w:szCs w:val="31"/>
          <w14:textFill>
            <w14:solidFill>
              <w14:schemeClr w14:val="tx1"/>
            </w14:solidFill>
          </w14:textFill>
        </w:rPr>
        <w:t>。将溶液转移至</w:t>
      </w:r>
      <w:r>
        <w:rPr>
          <w:color w:val="000000" w:themeColor="text1"/>
          <w:szCs w:val="31"/>
          <w14:textFill>
            <w14:solidFill>
              <w14:schemeClr w14:val="tx1"/>
            </w14:solidFill>
          </w14:textFill>
        </w:rPr>
        <w:t>1L</w:t>
      </w:r>
      <w:r>
        <w:rPr>
          <w:rFonts w:hint="eastAsia"/>
          <w:color w:val="000000" w:themeColor="text1"/>
          <w:szCs w:val="31"/>
          <w14:textFill>
            <w14:solidFill>
              <w14:schemeClr w14:val="tx1"/>
            </w14:solidFill>
          </w14:textFill>
        </w:rPr>
        <w:t>容量瓶中，用水定容至刻度，过微孔滤膜（</w:t>
      </w:r>
      <w:r>
        <w:rPr>
          <w:color w:val="000000" w:themeColor="text1"/>
          <w:szCs w:val="31"/>
          <w14:textFill>
            <w14:solidFill>
              <w14:schemeClr w14:val="tx1"/>
            </w14:solidFill>
          </w14:textFill>
        </w:rPr>
        <w:t>12.9</w:t>
      </w:r>
      <w:r>
        <w:rPr>
          <w:rFonts w:hint="eastAsia"/>
          <w:color w:val="000000" w:themeColor="text1"/>
          <w:szCs w:val="31"/>
          <w14:textFill>
            <w14:solidFill>
              <w14:schemeClr w14:val="tx1"/>
            </w14:solidFill>
          </w14:textFill>
        </w:rPr>
        <w:t>）。</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ascii="宋体" w:hAnsi="宋体" w:cs="宋体"/>
          <w:color w:val="000000"/>
        </w:rPr>
        <w:t>混合标准储备溶液（10 mg/mL）：准确称取α-乳白蛋白标准品（CAS号：9051-29-0，纯度≥99,5%）和β-乳球蛋白标准品（CAS号：9045-23-2，纯度≥97.2%）各100mg（精确至0.01 mg）于10mL容量瓶中，用水稀释并定容，混匀。于-20 ºC以下保存，有效期3个月。</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ascii="宋体" w:hAnsi="宋体" w:cs="宋体"/>
          <w:color w:val="000000"/>
        </w:rPr>
        <w:t>混合标准系列溶液：准确移取混合标准储备溶液（12.7），用盐酸胍缓冲液（12.6）稀释并定容至10 mL，配制成浓度分别为5.0 mg/L、20.0 mg/L、80.0 mg/L、150.0 mg/L、300.0 mg/L和600.0 mg/L的标准系列溶液，混匀。分别取1.5 mL标准工作溶液，加入10 µL β-巯基乙醇（12.3），剧烈震荡1 min，室温静置2 h后上机测定。</w:t>
      </w:r>
    </w:p>
    <w:p>
      <w:pPr>
        <w:numPr>
          <w:ilvl w:val="1"/>
          <w:numId w:val="2"/>
        </w:numPr>
        <w:tabs>
          <w:tab w:val="left" w:pos="0"/>
        </w:tabs>
        <w:spacing w:line="300" w:lineRule="auto"/>
        <w:outlineLvl w:val="2"/>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微孔滤膜：水系，</w:t>
      </w:r>
      <w:r>
        <w:rPr>
          <w:color w:val="000000" w:themeColor="text1"/>
          <w:szCs w:val="31"/>
          <w14:textFill>
            <w14:solidFill>
              <w14:schemeClr w14:val="tx1"/>
            </w14:solidFill>
          </w14:textFill>
        </w:rPr>
        <w:t>0.22 μm</w:t>
      </w:r>
      <w:r>
        <w:rPr>
          <w:rFonts w:hint="eastAsia"/>
          <w:color w:val="000000" w:themeColor="text1"/>
          <w:szCs w:val="31"/>
          <w14:textFill>
            <w14:solidFill>
              <w14:schemeClr w14:val="tx1"/>
            </w14:solidFill>
          </w14:textFill>
        </w:rPr>
        <w:t>。</w:t>
      </w:r>
    </w:p>
    <w:p>
      <w:pPr>
        <w:pStyle w:val="45"/>
        <w:spacing w:before="312" w:after="312"/>
        <w:rPr>
          <w:rFonts w:ascii="Times New Roman"/>
        </w:rPr>
      </w:pPr>
      <w:r>
        <w:rPr>
          <w:rFonts w:hint="eastAsia" w:ascii="Times New Roman"/>
          <w:color w:val="000000" w:themeColor="text1"/>
          <w:szCs w:val="22"/>
          <w14:textFill>
            <w14:solidFill>
              <w14:schemeClr w14:val="tx1"/>
            </w14:solidFill>
          </w14:textFill>
        </w:rPr>
        <w:t>仪器设备</w:t>
      </w:r>
    </w:p>
    <w:p>
      <w:pPr>
        <w:numPr>
          <w:ilvl w:val="1"/>
          <w:numId w:val="2"/>
        </w:numPr>
        <w:autoSpaceDE w:val="0"/>
        <w:autoSpaceDN w:val="0"/>
        <w:spacing w:line="300" w:lineRule="auto"/>
        <w:rPr>
          <w:color w:val="000000" w:themeColor="text1"/>
          <w:szCs w:val="31"/>
          <w14:textFill>
            <w14:solidFill>
              <w14:schemeClr w14:val="tx1"/>
            </w14:solidFill>
          </w14:textFill>
        </w:rPr>
      </w:pPr>
      <w:r>
        <w:rPr>
          <w:color w:val="000000" w:themeColor="text1"/>
          <w:szCs w:val="31"/>
          <w14:textFill>
            <w14:solidFill>
              <w14:schemeClr w14:val="tx1"/>
            </w14:solidFill>
          </w14:textFill>
        </w:rPr>
        <w:t>液相色谱仪：配紫外检测器或二极管阵列检测器。</w:t>
      </w:r>
    </w:p>
    <w:p>
      <w:pPr>
        <w:numPr>
          <w:ilvl w:val="1"/>
          <w:numId w:val="2"/>
        </w:numPr>
        <w:autoSpaceDE w:val="0"/>
        <w:autoSpaceDN w:val="0"/>
        <w:spacing w:line="300" w:lineRule="auto"/>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天平：</w:t>
      </w:r>
      <w:r>
        <w:rPr>
          <w:rFonts w:hint="eastAsia"/>
          <w:color w:val="000000" w:themeColor="text1"/>
          <w14:textFill>
            <w14:solidFill>
              <w14:schemeClr w14:val="tx1"/>
            </w14:solidFill>
          </w14:textFill>
        </w:rPr>
        <w:t>精度</w:t>
      </w:r>
      <w:r>
        <w:rPr>
          <w:color w:val="000000" w:themeColor="text1"/>
          <w14:textFill>
            <w14:solidFill>
              <w14:schemeClr w14:val="tx1"/>
            </w14:solidFill>
          </w14:textFill>
        </w:rPr>
        <w:t>0.1 mg</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1 mg</w:t>
      </w:r>
      <w:r>
        <w:rPr>
          <w:rFonts w:hint="eastAsia"/>
          <w:color w:val="000000" w:themeColor="text1"/>
          <w:szCs w:val="31"/>
          <w14:textFill>
            <w14:solidFill>
              <w14:schemeClr w14:val="tx1"/>
            </w14:solidFill>
          </w14:textFill>
        </w:rPr>
        <w:t>。</w:t>
      </w:r>
    </w:p>
    <w:p>
      <w:pPr>
        <w:numPr>
          <w:ilvl w:val="1"/>
          <w:numId w:val="2"/>
        </w:numPr>
        <w:autoSpaceDE w:val="0"/>
        <w:autoSpaceDN w:val="0"/>
        <w:spacing w:line="300" w:lineRule="auto"/>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离心机：转速不低于</w:t>
      </w:r>
      <w:r>
        <w:rPr>
          <w:color w:val="000000" w:themeColor="text1"/>
          <w:szCs w:val="31"/>
          <w14:textFill>
            <w14:solidFill>
              <w14:schemeClr w14:val="tx1"/>
            </w14:solidFill>
          </w14:textFill>
        </w:rPr>
        <w:t>12000 r/min</w:t>
      </w:r>
      <w:r>
        <w:rPr>
          <w:rFonts w:hint="eastAsia"/>
          <w:color w:val="000000" w:themeColor="text1"/>
          <w:szCs w:val="31"/>
          <w14:textFill>
            <w14:solidFill>
              <w14:schemeClr w14:val="tx1"/>
            </w14:solidFill>
          </w14:textFill>
        </w:rPr>
        <w:t>。</w:t>
      </w:r>
    </w:p>
    <w:p>
      <w:pPr>
        <w:numPr>
          <w:ilvl w:val="1"/>
          <w:numId w:val="2"/>
        </w:numPr>
        <w:autoSpaceDE w:val="0"/>
        <w:autoSpaceDN w:val="0"/>
        <w:spacing w:line="300" w:lineRule="auto"/>
        <w:rPr>
          <w:color w:val="000000" w:themeColor="text1"/>
          <w:szCs w:val="31"/>
          <w14:textFill>
            <w14:solidFill>
              <w14:schemeClr w14:val="tx1"/>
            </w14:solidFill>
          </w14:textFill>
        </w:rPr>
      </w:pPr>
      <w:r>
        <w:rPr>
          <w:color w:val="000000" w:themeColor="text1"/>
          <w:szCs w:val="31"/>
          <w14:textFill>
            <w14:solidFill>
              <w14:schemeClr w14:val="tx1"/>
            </w14:solidFill>
          </w14:textFill>
        </w:rPr>
        <w:t>pH</w:t>
      </w:r>
      <w:r>
        <w:rPr>
          <w:rFonts w:hint="eastAsia"/>
          <w:color w:val="000000" w:themeColor="text1"/>
          <w:szCs w:val="31"/>
          <w14:textFill>
            <w14:solidFill>
              <w14:schemeClr w14:val="tx1"/>
            </w14:solidFill>
          </w14:textFill>
        </w:rPr>
        <w:t>计：精度为</w:t>
      </w:r>
      <w:r>
        <w:rPr>
          <w:rFonts w:hint="eastAsia"/>
          <w:color w:val="000000" w:themeColor="text1"/>
          <w14:textFill>
            <w14:solidFill>
              <w14:schemeClr w14:val="tx1"/>
            </w14:solidFill>
          </w14:textFill>
        </w:rPr>
        <w:t>±</w:t>
      </w:r>
      <w:r>
        <w:rPr>
          <w:color w:val="000000" w:themeColor="text1"/>
          <w:szCs w:val="31"/>
          <w14:textFill>
            <w14:solidFill>
              <w14:schemeClr w14:val="tx1"/>
            </w14:solidFill>
          </w14:textFill>
        </w:rPr>
        <w:t>0.01</w:t>
      </w:r>
      <w:r>
        <w:rPr>
          <w:rFonts w:hint="eastAsia"/>
          <w:color w:val="000000" w:themeColor="text1"/>
          <w:szCs w:val="31"/>
          <w14:textFill>
            <w14:solidFill>
              <w14:schemeClr w14:val="tx1"/>
            </w14:solidFill>
          </w14:textFill>
        </w:rPr>
        <w:t>。</w:t>
      </w:r>
    </w:p>
    <w:p>
      <w:pPr>
        <w:numPr>
          <w:ilvl w:val="1"/>
          <w:numId w:val="2"/>
        </w:numPr>
        <w:autoSpaceDE w:val="0"/>
        <w:autoSpaceDN w:val="0"/>
        <w:spacing w:line="300" w:lineRule="auto"/>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涡旋混合器。</w:t>
      </w:r>
    </w:p>
    <w:p>
      <w:pPr>
        <w:pStyle w:val="45"/>
        <w:spacing w:before="312" w:after="312"/>
        <w:rPr>
          <w:color w:val="000000" w:themeColor="text1"/>
          <w:szCs w:val="31"/>
          <w14:textFill>
            <w14:solidFill>
              <w14:schemeClr w14:val="tx1"/>
            </w14:solidFill>
          </w14:textFill>
        </w:rPr>
      </w:pPr>
      <w:r>
        <w:rPr>
          <w:rFonts w:hint="eastAsia" w:ascii="Times New Roman"/>
          <w:color w:val="000000" w:themeColor="text1"/>
          <w:szCs w:val="22"/>
          <w14:textFill>
            <w14:solidFill>
              <w14:schemeClr w14:val="tx1"/>
            </w14:solidFill>
          </w14:textFill>
        </w:rPr>
        <w:t>样品</w:t>
      </w:r>
    </w:p>
    <w:p>
      <w:pPr>
        <w:pStyle w:val="23"/>
        <w:ind w:firstLine="0" w:firstLineChars="0"/>
        <w:rPr>
          <w:rFonts w:ascii="Times New Roman"/>
          <w:color w:val="000000" w:themeColor="text1"/>
          <w:szCs w:val="21"/>
          <w14:textFill>
            <w14:solidFill>
              <w14:schemeClr w14:val="tx1"/>
            </w14:solidFill>
          </w14:textFill>
        </w:rPr>
      </w:pPr>
      <w:r>
        <w:rPr>
          <w:rFonts w:hint="eastAsia"/>
          <w:color w:val="000000" w:themeColor="text1"/>
          <w:szCs w:val="31"/>
          <w14:textFill>
            <w14:solidFill>
              <w14:schemeClr w14:val="tx1"/>
            </w14:solidFill>
          </w14:textFill>
        </w:rPr>
        <w:t>14</w:t>
      </w:r>
      <w:r>
        <w:rPr>
          <w:color w:val="000000" w:themeColor="text1"/>
          <w:szCs w:val="31"/>
          <w14:textFill>
            <w14:solidFill>
              <w14:schemeClr w14:val="tx1"/>
            </w14:solidFill>
          </w14:textFill>
        </w:rPr>
        <w:t xml:space="preserve">.1  </w:t>
      </w:r>
      <w:r>
        <w:rPr>
          <w:rFonts w:hint="eastAsia"/>
          <w:color w:val="000000" w:themeColor="text1"/>
          <w:szCs w:val="31"/>
          <w14:textFill>
            <w14:solidFill>
              <w14:schemeClr w14:val="tx1"/>
            </w14:solidFill>
          </w14:textFill>
        </w:rPr>
        <w:t>高温杀菌牛乳、灭菌牛乳：</w:t>
      </w:r>
      <w:r>
        <w:rPr>
          <w:rFonts w:hint="eastAsia" w:ascii="Times New Roman"/>
          <w:color w:val="000000" w:themeColor="text1"/>
          <w:szCs w:val="21"/>
          <w14:textFill>
            <w14:solidFill>
              <w14:schemeClr w14:val="tx1"/>
            </w14:solidFill>
          </w14:textFill>
        </w:rPr>
        <w:t>取</w:t>
      </w:r>
      <w:r>
        <w:rPr>
          <w:rFonts w:hint="eastAsia"/>
          <w:color w:val="000000" w:themeColor="text1"/>
          <w:szCs w:val="31"/>
          <w14:textFill>
            <w14:solidFill>
              <w14:schemeClr w14:val="tx1"/>
            </w14:solidFill>
          </w14:textFill>
        </w:rPr>
        <w:t>高温杀菌牛乳、灭菌牛乳</w:t>
      </w:r>
      <w:r>
        <w:rPr>
          <w:rFonts w:ascii="Times New Roman"/>
          <w:color w:val="000000" w:themeColor="text1"/>
          <w:szCs w:val="21"/>
          <w14:textFill>
            <w14:solidFill>
              <w14:schemeClr w14:val="tx1"/>
            </w14:solidFill>
          </w14:textFill>
        </w:rPr>
        <w:t>约200 g，混匀，装入洁净容器</w:t>
      </w:r>
      <w:r>
        <w:rPr>
          <w:rFonts w:hint="eastAsia" w:ascii="Times New Roman"/>
          <w:color w:val="000000" w:themeColor="text1"/>
          <w:szCs w:val="21"/>
          <w14:textFill>
            <w14:solidFill>
              <w14:schemeClr w14:val="tx1"/>
            </w14:solidFill>
          </w14:textFill>
        </w:rPr>
        <w:t>中，立即测定</w:t>
      </w:r>
      <w:r>
        <w:rPr>
          <w:rFonts w:ascii="Times New Roman"/>
          <w:color w:val="000000" w:themeColor="text1"/>
          <w:szCs w:val="21"/>
          <w14:textFill>
            <w14:solidFill>
              <w14:schemeClr w14:val="tx1"/>
            </w14:solidFill>
          </w14:textFill>
        </w:rPr>
        <w:t>。</w:t>
      </w:r>
    </w:p>
    <w:p>
      <w:pPr>
        <w:autoSpaceDE w:val="0"/>
        <w:autoSpaceDN w:val="0"/>
        <w:spacing w:line="360" w:lineRule="auto"/>
        <w:rPr>
          <w:color w:val="000000" w:themeColor="text1"/>
          <w:szCs w:val="31"/>
          <w14:textFill>
            <w14:solidFill>
              <w14:schemeClr w14:val="tx1"/>
            </w14:solidFill>
          </w14:textFill>
        </w:rPr>
      </w:pPr>
      <w:r>
        <w:rPr>
          <w:rFonts w:hint="eastAsia"/>
          <w:color w:val="000000" w:themeColor="text1"/>
          <w:szCs w:val="31"/>
          <w14:textFill>
            <w14:solidFill>
              <w14:schemeClr w14:val="tx1"/>
            </w14:solidFill>
          </w14:textFill>
        </w:rPr>
        <w:t>14</w:t>
      </w:r>
      <w:r>
        <w:rPr>
          <w:color w:val="000000" w:themeColor="text1"/>
          <w:szCs w:val="31"/>
          <w14:textFill>
            <w14:solidFill>
              <w14:schemeClr w14:val="tx1"/>
            </w14:solidFill>
          </w14:textFill>
        </w:rPr>
        <w:t xml:space="preserve">.2  </w:t>
      </w:r>
      <w:r>
        <w:rPr>
          <w:rFonts w:hint="eastAsia"/>
          <w:color w:val="000000" w:themeColor="text1"/>
          <w:szCs w:val="31"/>
          <w14:textFill>
            <w14:solidFill>
              <w14:schemeClr w14:val="tx1"/>
            </w14:solidFill>
          </w14:textFill>
        </w:rPr>
        <w:t>牛乳粉、</w:t>
      </w:r>
      <w:r>
        <w:rPr>
          <w:color w:val="000000" w:themeColor="text1"/>
          <w:szCs w:val="31"/>
          <w14:textFill>
            <w14:solidFill>
              <w14:schemeClr w14:val="tx1"/>
            </w14:solidFill>
          </w14:textFill>
        </w:rPr>
        <w:t>牛乳基婴幼儿配方乳粉</w:t>
      </w:r>
      <w:r>
        <w:rPr>
          <w:rFonts w:hint="eastAsia"/>
          <w:color w:val="000000" w:themeColor="text1"/>
          <w:szCs w:val="31"/>
          <w14:textFill>
            <w14:solidFill>
              <w14:schemeClr w14:val="tx1"/>
            </w14:solidFill>
          </w14:textFill>
        </w:rPr>
        <w:t>：取牛乳粉、</w:t>
      </w:r>
      <w:r>
        <w:rPr>
          <w:color w:val="000000" w:themeColor="text1"/>
          <w:szCs w:val="31"/>
          <w14:textFill>
            <w14:solidFill>
              <w14:schemeClr w14:val="tx1"/>
            </w14:solidFill>
          </w14:textFill>
        </w:rPr>
        <w:t>牛乳基婴幼儿配方乳粉</w:t>
      </w:r>
      <w:r>
        <w:rPr>
          <w:rFonts w:hint="eastAsia"/>
          <w:color w:val="000000" w:themeColor="text1"/>
          <w:szCs w:val="31"/>
          <w14:textFill>
            <w14:solidFill>
              <w14:schemeClr w14:val="tx1"/>
            </w14:solidFill>
          </w14:textFill>
        </w:rPr>
        <w:t>约</w:t>
      </w:r>
      <w:r>
        <w:rPr>
          <w:color w:val="000000" w:themeColor="text1"/>
          <w:szCs w:val="31"/>
          <w14:textFill>
            <w14:solidFill>
              <w14:schemeClr w14:val="tx1"/>
            </w14:solidFill>
          </w14:textFill>
        </w:rPr>
        <w:t>200 g</w:t>
      </w:r>
      <w:r>
        <w:rPr>
          <w:rFonts w:hint="eastAsia"/>
          <w:color w:val="000000" w:themeColor="text1"/>
          <w:szCs w:val="31"/>
          <w14:textFill>
            <w14:solidFill>
              <w14:schemeClr w14:val="tx1"/>
            </w14:solidFill>
          </w14:textFill>
        </w:rPr>
        <w:t>，混匀，装入洁净容器中，常温密闭保存。</w:t>
      </w:r>
    </w:p>
    <w:p>
      <w:pPr>
        <w:pStyle w:val="45"/>
        <w:spacing w:before="312" w:after="312"/>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试验步骤</w:t>
      </w:r>
    </w:p>
    <w:p>
      <w:pPr>
        <w:pStyle w:val="42"/>
        <w:spacing w:before="156" w:after="156"/>
      </w:pPr>
      <w:r>
        <w:t>提取</w:t>
      </w:r>
    </w:p>
    <w:p>
      <w:pPr>
        <w:autoSpaceDE w:val="0"/>
        <w:autoSpaceDN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15.1.1 高温杀菌牛乳、灭菌牛乳</w:t>
      </w:r>
    </w:p>
    <w:p>
      <w:pPr>
        <w:widowControl w:val="0"/>
        <w:spacing w:line="300" w:lineRule="auto"/>
        <w:ind w:firstLine="420" w:firstLineChars="200"/>
        <w:rPr>
          <w:color w:val="000000" w:themeColor="text1"/>
          <w14:textFill>
            <w14:solidFill>
              <w14:schemeClr w14:val="tx1"/>
            </w14:solidFill>
          </w14:textFill>
        </w:rPr>
      </w:pPr>
      <w:r>
        <w:rPr>
          <w:color w:val="000000" w:themeColor="text1"/>
          <w:kern w:val="0"/>
          <w:szCs w:val="20"/>
          <w14:textFill>
            <w14:solidFill>
              <w14:schemeClr w14:val="tx1"/>
            </w14:solidFill>
          </w14:textFill>
        </w:rPr>
        <w:t>平行做两份试验。称取试样12.5 g（精确到0.1 mg）到烧杯中，加适量水混匀，用盐酸（12.2）调节pH至4.60 ± 0.05，转移至容量瓶中加水定容至25 mL，混匀，转移至离心管中，静置2 h，</w:t>
      </w:r>
      <w:r>
        <w:rPr>
          <w:rFonts w:hint="eastAsia"/>
          <w:color w:val="000000" w:themeColor="text1"/>
          <w:kern w:val="0"/>
          <w:szCs w:val="20"/>
          <w14:textFill>
            <w14:solidFill>
              <w14:schemeClr w14:val="tx1"/>
            </w14:solidFill>
          </w14:textFill>
        </w:rPr>
        <w:t>1</w:t>
      </w:r>
      <w:r>
        <w:rPr>
          <w:color w:val="000000" w:themeColor="text1"/>
          <w:kern w:val="0"/>
          <w:szCs w:val="20"/>
          <w14:textFill>
            <w14:solidFill>
              <w14:schemeClr w14:val="tx1"/>
            </w14:solidFill>
          </w14:textFill>
        </w:rPr>
        <w:t>2000</w:t>
      </w:r>
      <w:r>
        <w:rPr>
          <w:rFonts w:hint="eastAsia"/>
          <w:color w:val="000000" w:themeColor="text1"/>
          <w:kern w:val="0"/>
          <w:szCs w:val="20"/>
          <w14:textFill>
            <w14:solidFill>
              <w14:schemeClr w14:val="tx1"/>
            </w14:solidFill>
          </w14:textFill>
        </w:rPr>
        <w:t>转</w:t>
      </w:r>
      <w:r>
        <w:rPr>
          <w:color w:val="000000" w:themeColor="text1"/>
          <w:kern w:val="0"/>
          <w:szCs w:val="20"/>
          <w14:textFill>
            <w14:solidFill>
              <w14:schemeClr w14:val="tx1"/>
            </w14:solidFill>
          </w14:textFill>
        </w:rPr>
        <w:t>离心10 min。</w:t>
      </w:r>
      <w:r>
        <w:rPr>
          <w:rFonts w:hint="eastAsia"/>
          <w:color w:val="000000" w:themeColor="text1"/>
          <w:kern w:val="0"/>
          <w:szCs w:val="20"/>
          <w14:textFill>
            <w14:solidFill>
              <w14:schemeClr w14:val="tx1"/>
            </w14:solidFill>
          </w14:textFill>
        </w:rPr>
        <w:t>准确移取</w:t>
      </w:r>
      <w:r>
        <w:rPr>
          <w:color w:val="000000" w:themeColor="text1"/>
          <w:kern w:val="0"/>
          <w:szCs w:val="20"/>
          <w14:textFill>
            <w14:solidFill>
              <w14:schemeClr w14:val="tx1"/>
            </w14:solidFill>
          </w14:textFill>
        </w:rPr>
        <w:t>上清液1 mL</w:t>
      </w:r>
      <w:r>
        <w:rPr>
          <w:rFonts w:hint="eastAsia"/>
          <w:color w:val="000000" w:themeColor="text1"/>
          <w:kern w:val="0"/>
          <w:szCs w:val="20"/>
          <w14:textFill>
            <w14:solidFill>
              <w14:schemeClr w14:val="tx1"/>
            </w14:solidFill>
          </w14:textFill>
        </w:rPr>
        <w:t>于5</w:t>
      </w:r>
      <w:r>
        <w:rPr>
          <w:color w:val="000000" w:themeColor="text1"/>
          <w:kern w:val="0"/>
          <w:szCs w:val="20"/>
          <w14:textFill>
            <w14:solidFill>
              <w14:schemeClr w14:val="tx1"/>
            </w14:solidFill>
          </w14:textFill>
        </w:rPr>
        <w:t>mL</w:t>
      </w:r>
      <w:r>
        <w:rPr>
          <w:rFonts w:hint="eastAsia"/>
          <w:color w:val="000000" w:themeColor="text1"/>
          <w:kern w:val="0"/>
          <w:szCs w:val="20"/>
          <w14:textFill>
            <w14:solidFill>
              <w14:schemeClr w14:val="tx1"/>
            </w14:solidFill>
          </w14:textFill>
        </w:rPr>
        <w:t>容量瓶</w:t>
      </w:r>
      <w:r>
        <w:rPr>
          <w:color w:val="000000" w:themeColor="text1"/>
          <w:kern w:val="0"/>
          <w:szCs w:val="20"/>
          <w14:textFill>
            <w14:solidFill>
              <w14:schemeClr w14:val="tx1"/>
            </w14:solidFill>
          </w14:textFill>
        </w:rPr>
        <w:t>中，加入盐酸胍缓冲液（12.6）3 mL，再加入50 µL β-巯基乙醇（12.3），用盐酸胍缓冲液（12.6）定容</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混匀，室温静置2h，摇匀后过膜（12.9）</w:t>
      </w:r>
      <w:r>
        <w:rPr>
          <w:rFonts w:hint="eastAsia"/>
          <w:color w:val="000000" w:themeColor="text1"/>
          <w:kern w:val="0"/>
          <w:szCs w:val="20"/>
          <w14:textFill>
            <w14:solidFill>
              <w14:schemeClr w14:val="tx1"/>
            </w14:solidFill>
          </w14:textFill>
        </w:rPr>
        <w:t>为</w:t>
      </w:r>
      <w:r>
        <w:rPr>
          <w:color w:val="000000" w:themeColor="text1"/>
          <w:kern w:val="0"/>
          <w:szCs w:val="20"/>
          <w14:textFill>
            <w14:solidFill>
              <w14:schemeClr w14:val="tx1"/>
            </w14:solidFill>
          </w14:textFill>
        </w:rPr>
        <w:t>试样溶液，待测。</w:t>
      </w:r>
    </w:p>
    <w:p>
      <w:pPr>
        <w:autoSpaceDE w:val="0"/>
        <w:autoSpaceDN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15.1.2 牛乳粉</w:t>
      </w:r>
      <w:r>
        <w:rPr>
          <w:rFonts w:hint="eastAsia" w:eastAsia="黑体"/>
          <w:color w:val="000000" w:themeColor="text1"/>
          <w:kern w:val="0"/>
          <w14:textFill>
            <w14:solidFill>
              <w14:schemeClr w14:val="tx1"/>
            </w14:solidFill>
          </w14:textFill>
        </w:rPr>
        <w:t>、</w:t>
      </w:r>
      <w:r>
        <w:rPr>
          <w:rFonts w:eastAsia="黑体"/>
          <w:color w:val="000000" w:themeColor="text1"/>
          <w:kern w:val="0"/>
          <w14:textFill>
            <w14:solidFill>
              <w14:schemeClr w14:val="tx1"/>
            </w14:solidFill>
          </w14:textFill>
        </w:rPr>
        <w:t>牛乳基婴幼儿配方乳粉</w:t>
      </w:r>
    </w:p>
    <w:p>
      <w:pPr>
        <w:widowControl w:val="0"/>
        <w:spacing w:line="300" w:lineRule="auto"/>
        <w:ind w:firstLine="420" w:firstLineChars="200"/>
        <w:rPr>
          <w:color w:val="000000" w:themeColor="text1"/>
          <w14:textFill>
            <w14:solidFill>
              <w14:schemeClr w14:val="tx1"/>
            </w14:solidFill>
          </w14:textFill>
        </w:rPr>
      </w:pPr>
      <w:r>
        <w:rPr>
          <w:rFonts w:hint="eastAsia"/>
          <w:color w:val="000000" w:themeColor="text1"/>
          <w:kern w:val="0"/>
          <w:szCs w:val="20"/>
          <w14:textFill>
            <w14:solidFill>
              <w14:schemeClr w14:val="tx1"/>
            </w14:solidFill>
          </w14:textFill>
        </w:rPr>
        <w:t>平行</w:t>
      </w:r>
      <w:r>
        <w:rPr>
          <w:color w:val="000000" w:themeColor="text1"/>
          <w:kern w:val="0"/>
          <w:szCs w:val="20"/>
          <w14:textFill>
            <w14:solidFill>
              <w14:schemeClr w14:val="tx1"/>
            </w14:solidFill>
          </w14:textFill>
        </w:rPr>
        <w:t>做两份试验。称取试样2.5 g（精确到0.1 mg）</w:t>
      </w:r>
      <w:r>
        <w:rPr>
          <w:rFonts w:hint="eastAsia"/>
          <w:color w:val="000000" w:themeColor="text1"/>
          <w:kern w:val="0"/>
          <w:szCs w:val="20"/>
          <w14:textFill>
            <w14:solidFill>
              <w14:schemeClr w14:val="tx1"/>
            </w14:solidFill>
          </w14:textFill>
        </w:rPr>
        <w:t>到离心管中</w:t>
      </w:r>
      <w:r>
        <w:rPr>
          <w:color w:val="000000" w:themeColor="text1"/>
          <w:kern w:val="0"/>
          <w:szCs w:val="20"/>
          <w14:textFill>
            <w14:solidFill>
              <w14:schemeClr w14:val="tx1"/>
            </w14:solidFill>
          </w14:textFill>
        </w:rPr>
        <w:t>，加适量水混匀，</w:t>
      </w:r>
      <w:r>
        <w:rPr>
          <w:rFonts w:hint="eastAsia"/>
          <w:color w:val="000000" w:themeColor="text1"/>
          <w:kern w:val="0"/>
          <w:szCs w:val="20"/>
          <w14:textFill>
            <w14:solidFill>
              <w14:schemeClr w14:val="tx1"/>
            </w14:solidFill>
          </w14:textFill>
        </w:rPr>
        <w:t>用盐酸（12.2）</w:t>
      </w:r>
      <w:r>
        <w:rPr>
          <w:color w:val="000000" w:themeColor="text1"/>
          <w:kern w:val="0"/>
          <w:szCs w:val="20"/>
          <w14:textFill>
            <w14:solidFill>
              <w14:schemeClr w14:val="tx1"/>
            </w14:solidFill>
          </w14:textFill>
        </w:rPr>
        <w:t>调节pH</w:t>
      </w:r>
      <w:r>
        <w:rPr>
          <w:rFonts w:hint="eastAsia"/>
          <w:color w:val="000000" w:themeColor="text1"/>
          <w:kern w:val="0"/>
          <w:szCs w:val="20"/>
          <w14:textFill>
            <w14:solidFill>
              <w14:schemeClr w14:val="tx1"/>
            </w14:solidFill>
          </w14:textFill>
        </w:rPr>
        <w:t>至</w:t>
      </w:r>
      <w:r>
        <w:rPr>
          <w:color w:val="000000" w:themeColor="text1"/>
          <w:kern w:val="0"/>
          <w:szCs w:val="20"/>
          <w14:textFill>
            <w14:solidFill>
              <w14:schemeClr w14:val="tx1"/>
            </w14:solidFill>
          </w14:textFill>
        </w:rPr>
        <w:t>4.60 ± 0.05，</w:t>
      </w:r>
      <w:r>
        <w:rPr>
          <w:rFonts w:hint="eastAsia"/>
          <w:color w:val="000000" w:themeColor="text1"/>
          <w:kern w:val="0"/>
          <w:szCs w:val="20"/>
          <w14:textFill>
            <w14:solidFill>
              <w14:schemeClr w14:val="tx1"/>
            </w14:solidFill>
          </w14:textFill>
        </w:rPr>
        <w:t>转移至容量瓶中</w:t>
      </w:r>
      <w:r>
        <w:rPr>
          <w:color w:val="000000" w:themeColor="text1"/>
          <w:kern w:val="0"/>
          <w:szCs w:val="20"/>
          <w14:textFill>
            <w14:solidFill>
              <w14:schemeClr w14:val="tx1"/>
            </w14:solidFill>
          </w14:textFill>
        </w:rPr>
        <w:t>加水定容至25 mL，混匀</w:t>
      </w:r>
      <w:r>
        <w:rPr>
          <w:rFonts w:hint="eastAsia"/>
          <w:color w:val="000000" w:themeColor="text1"/>
          <w:kern w:val="0"/>
          <w:szCs w:val="20"/>
          <w14:textFill>
            <w14:solidFill>
              <w14:schemeClr w14:val="tx1"/>
            </w14:solidFill>
          </w14:textFill>
        </w:rPr>
        <w:t>，转移至离心管中，</w:t>
      </w:r>
      <w:r>
        <w:rPr>
          <w:color w:val="000000" w:themeColor="text1"/>
          <w:kern w:val="0"/>
          <w:szCs w:val="20"/>
          <w14:textFill>
            <w14:solidFill>
              <w14:schemeClr w14:val="tx1"/>
            </w14:solidFill>
          </w14:textFill>
        </w:rPr>
        <w:t>静置2 h</w:t>
      </w:r>
      <w:r>
        <w:rPr>
          <w:rFonts w:hint="eastAsia"/>
          <w:color w:val="000000" w:themeColor="text1"/>
          <w:kern w:val="0"/>
          <w:szCs w:val="20"/>
          <w14:textFill>
            <w14:solidFill>
              <w14:schemeClr w14:val="tx1"/>
            </w14:solidFill>
          </w14:textFill>
        </w:rPr>
        <w:t>，1</w:t>
      </w:r>
      <w:r>
        <w:rPr>
          <w:color w:val="000000" w:themeColor="text1"/>
          <w:kern w:val="0"/>
          <w:szCs w:val="20"/>
          <w14:textFill>
            <w14:solidFill>
              <w14:schemeClr w14:val="tx1"/>
            </w14:solidFill>
          </w14:textFill>
        </w:rPr>
        <w:t>2000</w:t>
      </w:r>
      <w:r>
        <w:rPr>
          <w:rFonts w:hint="eastAsia"/>
          <w:color w:val="000000" w:themeColor="text1"/>
          <w:kern w:val="0"/>
          <w:szCs w:val="20"/>
          <w14:textFill>
            <w14:solidFill>
              <w14:schemeClr w14:val="tx1"/>
            </w14:solidFill>
          </w14:textFill>
        </w:rPr>
        <w:t>转/min，</w:t>
      </w:r>
      <w:r>
        <w:rPr>
          <w:color w:val="000000" w:themeColor="text1"/>
          <w:kern w:val="0"/>
          <w:szCs w:val="20"/>
          <w14:textFill>
            <w14:solidFill>
              <w14:schemeClr w14:val="tx1"/>
            </w14:solidFill>
          </w14:textFill>
        </w:rPr>
        <w:t>离心10 min。</w:t>
      </w:r>
      <w:r>
        <w:rPr>
          <w:rFonts w:hint="eastAsia"/>
          <w:color w:val="000000" w:themeColor="text1"/>
          <w:kern w:val="0"/>
          <w:szCs w:val="20"/>
          <w14:textFill>
            <w14:solidFill>
              <w14:schemeClr w14:val="tx1"/>
            </w14:solidFill>
          </w14:textFill>
        </w:rPr>
        <w:t>准确移取</w:t>
      </w:r>
      <w:r>
        <w:rPr>
          <w:color w:val="000000" w:themeColor="text1"/>
          <w:kern w:val="0"/>
          <w:szCs w:val="20"/>
          <w14:textFill>
            <w14:solidFill>
              <w14:schemeClr w14:val="tx1"/>
            </w14:solidFill>
          </w14:textFill>
        </w:rPr>
        <w:t>上清液</w:t>
      </w:r>
      <w:r>
        <w:rPr>
          <w:rFonts w:hint="eastAsia"/>
          <w:color w:val="000000" w:themeColor="text1"/>
          <w:kern w:val="0"/>
          <w:szCs w:val="20"/>
          <w14:textFill>
            <w14:solidFill>
              <w14:schemeClr w14:val="tx1"/>
            </w14:solidFill>
          </w14:textFill>
        </w:rPr>
        <w:t>1</w:t>
      </w:r>
      <w:r>
        <w:rPr>
          <w:color w:val="000000" w:themeColor="text1"/>
          <w:kern w:val="0"/>
          <w:szCs w:val="20"/>
          <w14:textFill>
            <w14:solidFill>
              <w14:schemeClr w14:val="tx1"/>
            </w14:solidFill>
          </w14:textFill>
        </w:rPr>
        <w:t>mL</w:t>
      </w:r>
      <w:r>
        <w:rPr>
          <w:rFonts w:hint="eastAsia"/>
          <w:color w:val="000000" w:themeColor="text1"/>
          <w:kern w:val="0"/>
          <w:szCs w:val="20"/>
          <w14:textFill>
            <w14:solidFill>
              <w14:schemeClr w14:val="tx1"/>
            </w14:solidFill>
          </w14:textFill>
        </w:rPr>
        <w:t>于5</w:t>
      </w:r>
      <w:r>
        <w:rPr>
          <w:color w:val="000000" w:themeColor="text1"/>
          <w:kern w:val="0"/>
          <w:szCs w:val="20"/>
          <w14:textFill>
            <w14:solidFill>
              <w14:schemeClr w14:val="tx1"/>
            </w14:solidFill>
          </w14:textFill>
        </w:rPr>
        <w:t>mL</w:t>
      </w:r>
      <w:r>
        <w:rPr>
          <w:rFonts w:hint="eastAsia"/>
          <w:color w:val="000000" w:themeColor="text1"/>
          <w:kern w:val="0"/>
          <w:szCs w:val="20"/>
          <w14:textFill>
            <w14:solidFill>
              <w14:schemeClr w14:val="tx1"/>
            </w14:solidFill>
          </w14:textFill>
        </w:rPr>
        <w:t>容量瓶</w:t>
      </w:r>
      <w:r>
        <w:rPr>
          <w:color w:val="000000" w:themeColor="text1"/>
          <w:kern w:val="0"/>
          <w:szCs w:val="20"/>
          <w14:textFill>
            <w14:solidFill>
              <w14:schemeClr w14:val="tx1"/>
            </w14:solidFill>
          </w14:textFill>
        </w:rPr>
        <w:t>中，</w:t>
      </w:r>
      <w:r>
        <w:rPr>
          <w:rFonts w:hint="eastAsia"/>
          <w:color w:val="000000" w:themeColor="text1"/>
          <w:kern w:val="0"/>
          <w:szCs w:val="20"/>
          <w14:textFill>
            <w14:solidFill>
              <w14:schemeClr w14:val="tx1"/>
            </w14:solidFill>
          </w14:textFill>
        </w:rPr>
        <w:t>加入</w:t>
      </w:r>
      <w:r>
        <w:rPr>
          <w:color w:val="000000" w:themeColor="text1"/>
          <w:kern w:val="0"/>
          <w:szCs w:val="20"/>
          <w14:textFill>
            <w14:solidFill>
              <w14:schemeClr w14:val="tx1"/>
            </w14:solidFill>
          </w14:textFill>
        </w:rPr>
        <w:t>盐酸胍缓冲液（</w:t>
      </w:r>
      <w:r>
        <w:rPr>
          <w:rFonts w:hint="eastAsia"/>
          <w:color w:val="000000" w:themeColor="text1"/>
          <w:kern w:val="0"/>
          <w:szCs w:val="20"/>
          <w14:textFill>
            <w14:solidFill>
              <w14:schemeClr w14:val="tx1"/>
            </w14:solidFill>
          </w14:textFill>
        </w:rPr>
        <w:t>12.6</w:t>
      </w:r>
      <w:r>
        <w:rPr>
          <w:color w:val="000000" w:themeColor="text1"/>
          <w:kern w:val="0"/>
          <w:szCs w:val="20"/>
          <w14:textFill>
            <w14:solidFill>
              <w14:schemeClr w14:val="tx1"/>
            </w14:solidFill>
          </w14:textFill>
        </w:rPr>
        <w:t>）</w:t>
      </w:r>
      <w:r>
        <w:rPr>
          <w:rFonts w:hint="eastAsia"/>
          <w:color w:val="000000" w:themeColor="text1"/>
          <w:kern w:val="0"/>
          <w:szCs w:val="20"/>
          <w14:textFill>
            <w14:solidFill>
              <w14:schemeClr w14:val="tx1"/>
            </w14:solidFill>
          </w14:textFill>
        </w:rPr>
        <w:t>3</w:t>
      </w:r>
      <w:r>
        <w:rPr>
          <w:color w:val="000000" w:themeColor="text1"/>
          <w:kern w:val="0"/>
          <w:szCs w:val="20"/>
          <w14:textFill>
            <w14:solidFill>
              <w14:schemeClr w14:val="tx1"/>
            </w14:solidFill>
          </w14:textFill>
        </w:rPr>
        <w:t xml:space="preserve"> mL，</w:t>
      </w:r>
      <w:r>
        <w:rPr>
          <w:rFonts w:hint="eastAsia"/>
          <w:color w:val="000000" w:themeColor="text1"/>
          <w:kern w:val="0"/>
          <w:szCs w:val="20"/>
          <w14:textFill>
            <w14:solidFill>
              <w14:schemeClr w14:val="tx1"/>
            </w14:solidFill>
          </w14:textFill>
        </w:rPr>
        <w:t>再</w:t>
      </w:r>
      <w:r>
        <w:rPr>
          <w:color w:val="000000" w:themeColor="text1"/>
          <w:kern w:val="0"/>
          <w:szCs w:val="20"/>
          <w14:textFill>
            <w14:solidFill>
              <w14:schemeClr w14:val="tx1"/>
            </w14:solidFill>
          </w14:textFill>
        </w:rPr>
        <w:t>加入50 µL β-巯基乙醇</w:t>
      </w:r>
      <w:r>
        <w:rPr>
          <w:rFonts w:hint="eastAsia"/>
          <w:color w:val="000000" w:themeColor="text1"/>
          <w:kern w:val="0"/>
          <w:szCs w:val="20"/>
          <w14:textFill>
            <w14:solidFill>
              <w14:schemeClr w14:val="tx1"/>
            </w14:solidFill>
          </w14:textFill>
        </w:rPr>
        <w:t>（1</w:t>
      </w:r>
      <w:r>
        <w:rPr>
          <w:color w:val="000000" w:themeColor="text1"/>
          <w:kern w:val="0"/>
          <w:szCs w:val="20"/>
          <w14:textFill>
            <w14:solidFill>
              <w14:schemeClr w14:val="tx1"/>
            </w14:solidFill>
          </w14:textFill>
        </w:rPr>
        <w:t>2.3</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用盐酸胍缓冲液（</w:t>
      </w:r>
      <w:r>
        <w:rPr>
          <w:rFonts w:hint="eastAsia"/>
          <w:color w:val="000000" w:themeColor="text1"/>
          <w:kern w:val="0"/>
          <w:szCs w:val="20"/>
          <w14:textFill>
            <w14:solidFill>
              <w14:schemeClr w14:val="tx1"/>
            </w14:solidFill>
          </w14:textFill>
        </w:rPr>
        <w:t>12</w:t>
      </w:r>
      <w:r>
        <w:rPr>
          <w:color w:val="000000" w:themeColor="text1"/>
          <w:kern w:val="0"/>
          <w:szCs w:val="20"/>
          <w14:textFill>
            <w14:solidFill>
              <w14:schemeClr w14:val="tx1"/>
            </w14:solidFill>
          </w14:textFill>
        </w:rPr>
        <w:t>.6）</w:t>
      </w:r>
      <w:r>
        <w:rPr>
          <w:rFonts w:hint="eastAsia"/>
          <w:color w:val="000000" w:themeColor="text1"/>
          <w:kern w:val="0"/>
          <w:szCs w:val="20"/>
          <w14:textFill>
            <w14:solidFill>
              <w14:schemeClr w14:val="tx1"/>
            </w14:solidFill>
          </w14:textFill>
        </w:rPr>
        <w:t>定容，混匀，</w:t>
      </w:r>
      <w:r>
        <w:rPr>
          <w:color w:val="000000" w:themeColor="text1"/>
          <w:kern w:val="0"/>
          <w:szCs w:val="20"/>
          <w14:textFill>
            <w14:solidFill>
              <w14:schemeClr w14:val="tx1"/>
            </w14:solidFill>
          </w14:textFill>
        </w:rPr>
        <w:t>室温静置2h，摇匀后过膜（12.9）</w:t>
      </w:r>
      <w:r>
        <w:rPr>
          <w:rFonts w:hint="eastAsia"/>
          <w:color w:val="000000" w:themeColor="text1"/>
          <w:kern w:val="0"/>
          <w:szCs w:val="20"/>
          <w14:textFill>
            <w14:solidFill>
              <w14:schemeClr w14:val="tx1"/>
            </w14:solidFill>
          </w14:textFill>
        </w:rPr>
        <w:t>为</w:t>
      </w:r>
      <w:r>
        <w:rPr>
          <w:color w:val="000000" w:themeColor="text1"/>
          <w:kern w:val="0"/>
          <w:szCs w:val="20"/>
          <w14:textFill>
            <w14:solidFill>
              <w14:schemeClr w14:val="tx1"/>
            </w14:solidFill>
          </w14:textFill>
        </w:rPr>
        <w:t>试样溶液，待测。</w:t>
      </w:r>
    </w:p>
    <w:p>
      <w:pPr>
        <w:autoSpaceDE w:val="0"/>
        <w:autoSpaceDN w:val="0"/>
        <w:spacing w:line="300" w:lineRule="auto"/>
        <w:rPr>
          <w:rFonts w:eastAsia="黑体"/>
          <w:color w:val="000000" w:themeColor="text1"/>
          <w:kern w:val="0"/>
          <w14:textFill>
            <w14:solidFill>
              <w14:schemeClr w14:val="tx1"/>
            </w14:solidFill>
          </w14:textFill>
        </w:rPr>
      </w:pPr>
      <w:r>
        <w:rPr>
          <w:rFonts w:hint="eastAsia" w:eastAsia="黑体"/>
          <w:color w:val="000000" w:themeColor="text1"/>
          <w:kern w:val="0"/>
          <w14:textFill>
            <w14:solidFill>
              <w14:schemeClr w14:val="tx1"/>
            </w14:solidFill>
          </w14:textFill>
        </w:rPr>
        <w:t xml:space="preserve">15.2  </w:t>
      </w:r>
      <w:r>
        <w:rPr>
          <w:rFonts w:eastAsia="黑体"/>
          <w:color w:val="000000" w:themeColor="text1"/>
          <w:kern w:val="0"/>
          <w14:textFill>
            <w14:solidFill>
              <w14:schemeClr w14:val="tx1"/>
            </w14:solidFill>
          </w14:textFill>
        </w:rPr>
        <w:t>测定步骤</w:t>
      </w:r>
    </w:p>
    <w:p>
      <w:pPr>
        <w:autoSpaceDE w:val="0"/>
        <w:autoSpaceDN w:val="0"/>
        <w:spacing w:line="300" w:lineRule="auto"/>
        <w:rPr>
          <w:color w:val="000000" w:themeColor="text1"/>
          <w14:textFill>
            <w14:solidFill>
              <w14:schemeClr w14:val="tx1"/>
            </w14:solidFill>
          </w14:textFill>
        </w:rPr>
      </w:pPr>
      <w:r>
        <w:rPr>
          <w:rFonts w:hint="eastAsia" w:eastAsia="黑体"/>
          <w:color w:val="000000" w:themeColor="text1"/>
          <w:kern w:val="0"/>
          <w14:textFill>
            <w14:solidFill>
              <w14:schemeClr w14:val="tx1"/>
            </w14:solidFill>
          </w14:textFill>
        </w:rPr>
        <w:t>1</w:t>
      </w:r>
      <w:r>
        <w:rPr>
          <w:rFonts w:eastAsia="黑体"/>
          <w:color w:val="000000" w:themeColor="text1"/>
          <w:kern w:val="0"/>
          <w14:textFill>
            <w14:solidFill>
              <w14:schemeClr w14:val="tx1"/>
            </w14:solidFill>
          </w14:textFill>
        </w:rPr>
        <w:t>5.2.1 色谱参考条件</w:t>
      </w:r>
    </w:p>
    <w:p>
      <w:pPr>
        <w:spacing w:line="360" w:lineRule="auto"/>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凝胶</w:t>
      </w:r>
      <w:r>
        <w:rPr>
          <w:rFonts w:hint="eastAsia"/>
          <w:color w:val="000000" w:themeColor="text1"/>
          <w:kern w:val="0"/>
          <w:szCs w:val="20"/>
          <w14:textFill>
            <w14:solidFill>
              <w14:schemeClr w14:val="tx1"/>
            </w14:solidFill>
          </w14:textFill>
        </w:rPr>
        <w:t>渗透</w:t>
      </w:r>
      <w:r>
        <w:rPr>
          <w:color w:val="000000" w:themeColor="text1"/>
          <w:kern w:val="0"/>
          <w:szCs w:val="20"/>
          <w14:textFill>
            <w14:solidFill>
              <w14:schemeClr w14:val="tx1"/>
            </w14:solidFill>
          </w14:textFill>
        </w:rPr>
        <w:t>色谱</w:t>
      </w:r>
      <w:r>
        <w:rPr>
          <w:color w:val="000000" w:themeColor="text1"/>
          <w14:textFill>
            <w14:solidFill>
              <w14:schemeClr w14:val="tx1"/>
            </w14:solidFill>
          </w14:textFill>
        </w:rPr>
        <w:t>参考条件</w:t>
      </w:r>
      <w:r>
        <w:rPr>
          <w:rFonts w:hint="eastAsia"/>
          <w:color w:val="000000" w:themeColor="text1"/>
          <w14:textFill>
            <w14:solidFill>
              <w14:schemeClr w14:val="tx1"/>
            </w14:solidFill>
          </w14:textFill>
        </w:rPr>
        <w:t>如下：</w:t>
      </w:r>
    </w:p>
    <w:p>
      <w:pPr>
        <w:pStyle w:val="141"/>
        <w:numPr>
          <w:ilvl w:val="0"/>
          <w:numId w:val="20"/>
        </w:numPr>
        <w:spacing w:line="360" w:lineRule="auto"/>
        <w:ind w:firstLineChars="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凝胶</w:t>
      </w:r>
      <w:r>
        <w:rPr>
          <w:rFonts w:hint="eastAsia"/>
          <w:color w:val="000000" w:themeColor="text1"/>
          <w:kern w:val="0"/>
          <w:szCs w:val="20"/>
          <w14:textFill>
            <w14:solidFill>
              <w14:schemeClr w14:val="tx1"/>
            </w14:solidFill>
          </w14:textFill>
        </w:rPr>
        <w:t>渗透</w:t>
      </w:r>
      <w:r>
        <w:rPr>
          <w:color w:val="000000" w:themeColor="text1"/>
          <w:kern w:val="0"/>
          <w:szCs w:val="20"/>
          <w14:textFill>
            <w14:solidFill>
              <w14:schemeClr w14:val="tx1"/>
            </w14:solidFill>
          </w14:textFill>
        </w:rPr>
        <w:t>色谱柱：二醇基亲水硅胶柱</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柱长300 mm，内径4.6 mm，粒径2</w:t>
      </w:r>
      <w:r>
        <w:rPr>
          <w:rFonts w:hint="eastAsia"/>
          <w:color w:val="000000" w:themeColor="text1"/>
          <w:kern w:val="0"/>
          <w:szCs w:val="20"/>
          <w14:textFill>
            <w14:solidFill>
              <w14:schemeClr w14:val="tx1"/>
            </w14:solidFill>
          </w14:textFill>
        </w:rPr>
        <w:t xml:space="preserve"> </w:t>
      </w:r>
      <w:r>
        <w:rPr>
          <w:color w:val="000000" w:themeColor="text1"/>
          <w:kern w:val="0"/>
          <w:szCs w:val="20"/>
          <w14:textFill>
            <w14:solidFill>
              <w14:schemeClr w14:val="tx1"/>
            </w14:solidFill>
          </w14:textFill>
        </w:rPr>
        <w:t>μm，或性能相当者</w:t>
      </w:r>
      <w:r>
        <w:rPr>
          <w:rFonts w:hint="eastAsia"/>
          <w:color w:val="000000" w:themeColor="text1"/>
          <w:kern w:val="0"/>
          <w:szCs w:val="20"/>
          <w14:textFill>
            <w14:solidFill>
              <w14:schemeClr w14:val="tx1"/>
            </w14:solidFill>
          </w14:textFill>
        </w:rPr>
        <w:t>。</w:t>
      </w:r>
    </w:p>
    <w:p>
      <w:pPr>
        <w:pStyle w:val="141"/>
        <w:numPr>
          <w:ilvl w:val="0"/>
          <w:numId w:val="20"/>
        </w:numPr>
        <w:spacing w:line="360" w:lineRule="auto"/>
        <w:ind w:firstLineChars="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检测波长：280 nm</w:t>
      </w:r>
      <w:r>
        <w:rPr>
          <w:rFonts w:hint="eastAsia"/>
          <w:color w:val="000000" w:themeColor="text1"/>
          <w:kern w:val="0"/>
          <w:szCs w:val="20"/>
          <w14:textFill>
            <w14:solidFill>
              <w14:schemeClr w14:val="tx1"/>
            </w14:solidFill>
          </w14:textFill>
        </w:rPr>
        <w:t>。</w:t>
      </w:r>
    </w:p>
    <w:p>
      <w:pPr>
        <w:pStyle w:val="141"/>
        <w:numPr>
          <w:ilvl w:val="0"/>
          <w:numId w:val="20"/>
        </w:numPr>
        <w:spacing w:line="360" w:lineRule="auto"/>
        <w:ind w:firstLineChars="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流速：0.18 mL/min</w:t>
      </w:r>
      <w:r>
        <w:rPr>
          <w:rFonts w:hint="eastAsia"/>
          <w:color w:val="000000" w:themeColor="text1"/>
          <w:kern w:val="0"/>
          <w:szCs w:val="20"/>
          <w14:textFill>
            <w14:solidFill>
              <w14:schemeClr w14:val="tx1"/>
            </w14:solidFill>
          </w14:textFill>
        </w:rPr>
        <w:t>。</w:t>
      </w:r>
    </w:p>
    <w:p>
      <w:pPr>
        <w:pStyle w:val="141"/>
        <w:numPr>
          <w:ilvl w:val="0"/>
          <w:numId w:val="20"/>
        </w:numPr>
        <w:spacing w:line="360" w:lineRule="auto"/>
        <w:ind w:firstLineChars="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柱温：室温</w:t>
      </w:r>
      <w:r>
        <w:rPr>
          <w:rFonts w:hint="eastAsia"/>
          <w:color w:val="000000" w:themeColor="text1"/>
          <w:kern w:val="0"/>
          <w:szCs w:val="20"/>
          <w14:textFill>
            <w14:solidFill>
              <w14:schemeClr w14:val="tx1"/>
            </w14:solidFill>
          </w14:textFill>
        </w:rPr>
        <w:t>。</w:t>
      </w:r>
    </w:p>
    <w:p>
      <w:pPr>
        <w:pStyle w:val="141"/>
        <w:numPr>
          <w:ilvl w:val="0"/>
          <w:numId w:val="20"/>
        </w:numPr>
        <w:spacing w:line="360" w:lineRule="auto"/>
        <w:ind w:firstLineChars="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进样量：10 μL。</w:t>
      </w:r>
    </w:p>
    <w:p>
      <w:pPr>
        <w:spacing w:line="360" w:lineRule="auto"/>
        <w:ind w:firstLine="420" w:firstLineChars="200"/>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 xml:space="preserve">f)  </w:t>
      </w:r>
      <w:r>
        <w:rPr>
          <w:color w:val="000000" w:themeColor="text1"/>
          <w:kern w:val="0"/>
          <w:szCs w:val="20"/>
          <w14:textFill>
            <w14:solidFill>
              <w14:schemeClr w14:val="tx1"/>
            </w14:solidFill>
          </w14:textFill>
        </w:rPr>
        <w:t>流动相：盐酸胍缓冲溶液（</w:t>
      </w:r>
      <w:r>
        <w:rPr>
          <w:rFonts w:hint="eastAsia"/>
          <w:color w:val="000000" w:themeColor="text1"/>
          <w:kern w:val="0"/>
          <w:szCs w:val="20"/>
          <w14:textFill>
            <w14:solidFill>
              <w14:schemeClr w14:val="tx1"/>
            </w14:solidFill>
          </w14:textFill>
        </w:rPr>
        <w:t>12</w:t>
      </w:r>
      <w:r>
        <w:rPr>
          <w:color w:val="000000" w:themeColor="text1"/>
          <w:kern w:val="0"/>
          <w:szCs w:val="20"/>
          <w14:textFill>
            <w14:solidFill>
              <w14:schemeClr w14:val="tx1"/>
            </w14:solidFill>
          </w14:textFill>
        </w:rPr>
        <w:t>.6）</w:t>
      </w:r>
      <w:r>
        <w:rPr>
          <w:rFonts w:hint="eastAsia"/>
          <w:color w:val="000000" w:themeColor="text1"/>
          <w:kern w:val="0"/>
          <w:szCs w:val="20"/>
          <w14:textFill>
            <w14:solidFill>
              <w14:schemeClr w14:val="tx1"/>
            </w14:solidFill>
          </w14:textFill>
        </w:rPr>
        <w:t>。</w:t>
      </w:r>
    </w:p>
    <w:p>
      <w:pPr>
        <w:autoSpaceDE w:val="0"/>
        <w:autoSpaceDN w:val="0"/>
        <w:spacing w:line="300" w:lineRule="auto"/>
        <w:rPr>
          <w:rFonts w:eastAsia="黑体"/>
          <w:color w:val="000000" w:themeColor="text1"/>
          <w:kern w:val="0"/>
          <w14:textFill>
            <w14:solidFill>
              <w14:schemeClr w14:val="tx1"/>
            </w14:solidFill>
          </w14:textFill>
        </w:rPr>
      </w:pPr>
      <w:r>
        <w:rPr>
          <w:rFonts w:hint="eastAsia" w:eastAsia="黑体"/>
          <w:color w:val="000000" w:themeColor="text1"/>
          <w:kern w:val="0"/>
          <w14:textFill>
            <w14:solidFill>
              <w14:schemeClr w14:val="tx1"/>
            </w14:solidFill>
          </w14:textFill>
        </w:rPr>
        <w:t>1</w:t>
      </w:r>
      <w:r>
        <w:rPr>
          <w:rFonts w:eastAsia="黑体"/>
          <w:color w:val="000000" w:themeColor="text1"/>
          <w:kern w:val="0"/>
          <w14:textFill>
            <w14:solidFill>
              <w14:schemeClr w14:val="tx1"/>
            </w14:solidFill>
          </w14:textFill>
        </w:rPr>
        <w:t>5.2.2测定</w:t>
      </w:r>
    </w:p>
    <w:p>
      <w:pPr>
        <w:autoSpaceDE w:val="0"/>
        <w:autoSpaceDN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15.2.</w:t>
      </w:r>
      <w:r>
        <w:rPr>
          <w:rFonts w:hint="eastAsia" w:eastAsia="黑体"/>
          <w:color w:val="000000" w:themeColor="text1"/>
          <w:kern w:val="0"/>
          <w14:textFill>
            <w14:solidFill>
              <w14:schemeClr w14:val="tx1"/>
            </w14:solidFill>
          </w14:textFill>
        </w:rPr>
        <w:t>2.</w:t>
      </w:r>
      <w:r>
        <w:rPr>
          <w:rFonts w:eastAsia="黑体"/>
          <w:color w:val="000000" w:themeColor="text1"/>
          <w:kern w:val="0"/>
          <w14:textFill>
            <w14:solidFill>
              <w14:schemeClr w14:val="tx1"/>
            </w14:solidFill>
          </w14:textFill>
        </w:rPr>
        <w:t>1 标准系列溶液和试样溶液测定</w:t>
      </w:r>
    </w:p>
    <w:p>
      <w:pPr>
        <w:pStyle w:val="23"/>
        <w:spacing w:line="360" w:lineRule="auto"/>
        <w:rPr>
          <w:rFonts w:ascii="Times New Roman"/>
        </w:rPr>
      </w:pPr>
      <w:r>
        <w:rPr>
          <w:rFonts w:ascii="Times New Roman"/>
        </w:rPr>
        <w:t>在仪器的最佳条件下，分别取</w:t>
      </w:r>
      <w:r>
        <w:rPr>
          <w:rFonts w:hint="eastAsia" w:ascii="Times New Roman"/>
        </w:rPr>
        <w:t>混合</w:t>
      </w:r>
      <w:r>
        <w:rPr>
          <w:rFonts w:ascii="Times New Roman"/>
        </w:rPr>
        <w:t>标准系列溶液（</w:t>
      </w:r>
      <w:r>
        <w:rPr>
          <w:rFonts w:hint="eastAsia" w:ascii="Times New Roman"/>
        </w:rPr>
        <w:t>12</w:t>
      </w:r>
      <w:r>
        <w:rPr>
          <w:rFonts w:ascii="Times New Roman"/>
        </w:rPr>
        <w:t>.8）和试样溶液（</w:t>
      </w:r>
      <w:r>
        <w:rPr>
          <w:rFonts w:hint="eastAsia" w:ascii="Times New Roman"/>
        </w:rPr>
        <w:t>15</w:t>
      </w:r>
      <w:r>
        <w:rPr>
          <w:rFonts w:ascii="Times New Roman"/>
        </w:rPr>
        <w:t>.1）上机测定。</w:t>
      </w:r>
      <w:r>
        <w:rPr>
          <w:rFonts w:ascii="Times New Roman"/>
          <w:color w:val="000000" w:themeColor="text1"/>
          <w14:textFill>
            <w14:solidFill>
              <w14:schemeClr w14:val="tx1"/>
            </w14:solidFill>
          </w14:textFill>
        </w:rPr>
        <w:t>α-</w:t>
      </w:r>
      <w:r>
        <w:rPr>
          <w:rFonts w:hint="eastAsia" w:ascii="Times New Roman"/>
          <w:color w:val="000000" w:themeColor="text1"/>
          <w14:textFill>
            <w14:solidFill>
              <w14:schemeClr w14:val="tx1"/>
            </w14:solidFill>
          </w14:textFill>
        </w:rPr>
        <w:t>乳白蛋白和</w:t>
      </w:r>
      <w:r>
        <w:rPr>
          <w:rFonts w:ascii="Times New Roman"/>
          <w:color w:val="000000" w:themeColor="text1"/>
          <w14:textFill>
            <w14:solidFill>
              <w14:schemeClr w14:val="tx1"/>
            </w14:solidFill>
          </w14:textFill>
        </w:rPr>
        <w:t>β-</w:t>
      </w:r>
      <w:r>
        <w:rPr>
          <w:rFonts w:hint="eastAsia" w:ascii="Times New Roman"/>
          <w:color w:val="000000" w:themeColor="text1"/>
          <w14:textFill>
            <w14:solidFill>
              <w14:schemeClr w14:val="tx1"/>
            </w14:solidFill>
          </w14:textFill>
        </w:rPr>
        <w:t>乳球蛋白标准溶液的凝胶渗透色谱图见附录</w:t>
      </w:r>
      <w:r>
        <w:rPr>
          <w:rFonts w:ascii="Times New Roman"/>
          <w:color w:val="000000" w:themeColor="text1"/>
          <w14:textFill>
            <w14:solidFill>
              <w14:schemeClr w14:val="tx1"/>
            </w14:solidFill>
          </w14:textFill>
        </w:rPr>
        <w:t>B</w:t>
      </w:r>
      <w:r>
        <w:rPr>
          <w:rFonts w:ascii="Times New Roman"/>
        </w:rPr>
        <w:t>。</w:t>
      </w:r>
    </w:p>
    <w:p>
      <w:pPr>
        <w:autoSpaceDE w:val="0"/>
        <w:autoSpaceDN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15.2.</w:t>
      </w:r>
      <w:r>
        <w:rPr>
          <w:rFonts w:hint="eastAsia" w:eastAsia="黑体"/>
          <w:color w:val="000000" w:themeColor="text1"/>
          <w:kern w:val="0"/>
          <w14:textFill>
            <w14:solidFill>
              <w14:schemeClr w14:val="tx1"/>
            </w14:solidFill>
          </w14:textFill>
        </w:rPr>
        <w:t>2.2</w:t>
      </w:r>
      <w:r>
        <w:rPr>
          <w:rFonts w:eastAsia="黑体"/>
          <w:color w:val="000000" w:themeColor="text1"/>
          <w:kern w:val="0"/>
          <w14:textFill>
            <w14:solidFill>
              <w14:schemeClr w14:val="tx1"/>
            </w14:solidFill>
          </w14:textFill>
        </w:rPr>
        <w:t xml:space="preserve"> </w:t>
      </w:r>
      <w:r>
        <w:rPr>
          <w:rFonts w:hint="eastAsia" w:eastAsia="黑体"/>
          <w:color w:val="000000" w:themeColor="text1"/>
          <w:kern w:val="0"/>
          <w14:textFill>
            <w14:solidFill>
              <w14:schemeClr w14:val="tx1"/>
            </w14:solidFill>
          </w14:textFill>
        </w:rPr>
        <w:t>定性</w:t>
      </w:r>
    </w:p>
    <w:p>
      <w:pPr>
        <w:pStyle w:val="23"/>
        <w:spacing w:line="360" w:lineRule="auto"/>
        <w:rPr>
          <w:rFonts w:ascii="Times New Roman"/>
        </w:rPr>
      </w:pPr>
      <w:r>
        <w:rPr>
          <w:rFonts w:ascii="Times New Roman"/>
        </w:rPr>
        <w:t>以保留时间定性，试样溶液中</w:t>
      </w:r>
      <w:r>
        <w:rPr>
          <w:rFonts w:ascii="Times New Roman"/>
          <w:color w:val="000000" w:themeColor="text1"/>
          <w14:textFill>
            <w14:solidFill>
              <w14:schemeClr w14:val="tx1"/>
            </w14:solidFill>
          </w14:textFill>
        </w:rPr>
        <w:t>α-</w:t>
      </w:r>
      <w:r>
        <w:rPr>
          <w:rFonts w:hint="eastAsia" w:ascii="Times New Roman"/>
          <w:color w:val="000000" w:themeColor="text1"/>
          <w14:textFill>
            <w14:solidFill>
              <w14:schemeClr w14:val="tx1"/>
            </w14:solidFill>
          </w14:textFill>
        </w:rPr>
        <w:t>乳白蛋白和</w:t>
      </w:r>
      <w:r>
        <w:rPr>
          <w:rFonts w:ascii="Times New Roman"/>
          <w:color w:val="000000" w:themeColor="text1"/>
          <w14:textFill>
            <w14:solidFill>
              <w14:schemeClr w14:val="tx1"/>
            </w14:solidFill>
          </w14:textFill>
        </w:rPr>
        <w:t>β-</w:t>
      </w:r>
      <w:r>
        <w:rPr>
          <w:rFonts w:hint="eastAsia" w:ascii="Times New Roman"/>
          <w:color w:val="000000" w:themeColor="text1"/>
          <w14:textFill>
            <w14:solidFill>
              <w14:schemeClr w14:val="tx1"/>
            </w14:solidFill>
          </w14:textFill>
        </w:rPr>
        <w:t>乳球蛋白</w:t>
      </w:r>
      <w:r>
        <w:rPr>
          <w:rFonts w:ascii="Times New Roman"/>
        </w:rPr>
        <w:t>保留时间应分别与</w:t>
      </w:r>
      <w:r>
        <w:rPr>
          <w:rFonts w:hint="eastAsia" w:ascii="Times New Roman"/>
        </w:rPr>
        <w:t>混合</w:t>
      </w:r>
      <w:r>
        <w:rPr>
          <w:rFonts w:ascii="Times New Roman"/>
        </w:rPr>
        <w:t>标准系列溶液（浓度相当）中</w:t>
      </w:r>
      <w:r>
        <w:rPr>
          <w:rFonts w:ascii="Times New Roman"/>
          <w:color w:val="000000" w:themeColor="text1"/>
          <w14:textFill>
            <w14:solidFill>
              <w14:schemeClr w14:val="tx1"/>
            </w14:solidFill>
          </w14:textFill>
        </w:rPr>
        <w:t>α-</w:t>
      </w:r>
      <w:r>
        <w:rPr>
          <w:rFonts w:hint="eastAsia" w:ascii="Times New Roman"/>
          <w:color w:val="000000" w:themeColor="text1"/>
          <w14:textFill>
            <w14:solidFill>
              <w14:schemeClr w14:val="tx1"/>
            </w14:solidFill>
          </w14:textFill>
        </w:rPr>
        <w:t>乳白蛋白和</w:t>
      </w:r>
      <w:r>
        <w:rPr>
          <w:rFonts w:ascii="Times New Roman"/>
          <w:color w:val="000000" w:themeColor="text1"/>
          <w14:textFill>
            <w14:solidFill>
              <w14:schemeClr w14:val="tx1"/>
            </w14:solidFill>
          </w14:textFill>
        </w:rPr>
        <w:t>β-</w:t>
      </w:r>
      <w:r>
        <w:rPr>
          <w:rFonts w:hint="eastAsia" w:ascii="Times New Roman"/>
          <w:color w:val="000000" w:themeColor="text1"/>
          <w14:textFill>
            <w14:solidFill>
              <w14:schemeClr w14:val="tx1"/>
            </w14:solidFill>
          </w14:textFill>
        </w:rPr>
        <w:t>乳球蛋白</w:t>
      </w:r>
      <w:r>
        <w:rPr>
          <w:rFonts w:ascii="Times New Roman"/>
        </w:rPr>
        <w:t>的保留时间一致，其相对偏差在±2.5％之内。</w:t>
      </w:r>
    </w:p>
    <w:p>
      <w:pPr>
        <w:autoSpaceDE w:val="0"/>
        <w:autoSpaceDN w:val="0"/>
        <w:spacing w:line="300" w:lineRule="auto"/>
        <w:rPr>
          <w:rFonts w:eastAsia="黑体"/>
          <w:color w:val="000000" w:themeColor="text1"/>
          <w:kern w:val="0"/>
          <w14:textFill>
            <w14:solidFill>
              <w14:schemeClr w14:val="tx1"/>
            </w14:solidFill>
          </w14:textFill>
        </w:rPr>
      </w:pPr>
      <w:r>
        <w:rPr>
          <w:rFonts w:eastAsia="黑体"/>
          <w:color w:val="000000" w:themeColor="text1"/>
          <w:kern w:val="0"/>
          <w14:textFill>
            <w14:solidFill>
              <w14:schemeClr w14:val="tx1"/>
            </w14:solidFill>
          </w14:textFill>
        </w:rPr>
        <w:t>15.2.</w:t>
      </w:r>
      <w:r>
        <w:rPr>
          <w:rFonts w:hint="eastAsia" w:eastAsia="黑体"/>
          <w:color w:val="000000" w:themeColor="text1"/>
          <w:kern w:val="0"/>
          <w14:textFill>
            <w14:solidFill>
              <w14:schemeClr w14:val="tx1"/>
            </w14:solidFill>
          </w14:textFill>
        </w:rPr>
        <w:t>2.3</w:t>
      </w:r>
      <w:r>
        <w:rPr>
          <w:rFonts w:eastAsia="黑体"/>
          <w:color w:val="000000" w:themeColor="text1"/>
          <w:kern w:val="0"/>
          <w14:textFill>
            <w14:solidFill>
              <w14:schemeClr w14:val="tx1"/>
            </w14:solidFill>
          </w14:textFill>
        </w:rPr>
        <w:t xml:space="preserve"> 定量</w:t>
      </w:r>
    </w:p>
    <w:p>
      <w:pPr>
        <w:pStyle w:val="23"/>
        <w:spacing w:line="360" w:lineRule="auto"/>
        <w:rPr>
          <w:rFonts w:ascii="Times New Roman"/>
          <w:color w:val="000000" w:themeColor="text1"/>
          <w:kern w:val="2"/>
          <w:szCs w:val="31"/>
          <w14:textFill>
            <w14:solidFill>
              <w14:schemeClr w14:val="tx1"/>
            </w14:solidFill>
          </w14:textFill>
        </w:rPr>
      </w:pPr>
      <w:r>
        <w:rPr>
          <w:rFonts w:ascii="Times New Roman"/>
          <w:color w:val="000000" w:themeColor="text1"/>
          <w:kern w:val="2"/>
          <w:szCs w:val="31"/>
          <w14:textFill>
            <w14:solidFill>
              <w14:schemeClr w14:val="tx1"/>
            </w14:solidFill>
          </w14:textFill>
        </w:rPr>
        <w:t>以</w:t>
      </w:r>
      <w:r>
        <w:rPr>
          <w:rFonts w:ascii="Times New Roman"/>
          <w:color w:val="000000" w:themeColor="text1"/>
          <w14:textFill>
            <w14:solidFill>
              <w14:schemeClr w14:val="tx1"/>
            </w14:solidFill>
          </w14:textFill>
        </w:rPr>
        <w:t>α-</w:t>
      </w:r>
      <w:r>
        <w:rPr>
          <w:rFonts w:hint="eastAsia" w:ascii="Times New Roman"/>
          <w:color w:val="000000" w:themeColor="text1"/>
          <w14:textFill>
            <w14:solidFill>
              <w14:schemeClr w14:val="tx1"/>
            </w14:solidFill>
          </w14:textFill>
        </w:rPr>
        <w:t>乳白蛋白（</w:t>
      </w:r>
      <w:r>
        <w:rPr>
          <w:rFonts w:ascii="Times New Roman"/>
          <w:color w:val="000000" w:themeColor="text1"/>
          <w14:textFill>
            <w14:solidFill>
              <w14:schemeClr w14:val="tx1"/>
            </w14:solidFill>
          </w14:textFill>
        </w:rPr>
        <w:t>β-</w:t>
      </w:r>
      <w:r>
        <w:rPr>
          <w:rFonts w:hint="eastAsia" w:ascii="Times New Roman"/>
          <w:color w:val="000000" w:themeColor="text1"/>
          <w14:textFill>
            <w14:solidFill>
              <w14:schemeClr w14:val="tx1"/>
            </w14:solidFill>
          </w14:textFill>
        </w:rPr>
        <w:t>乳球蛋白</w:t>
      </w:r>
      <w:r>
        <w:rPr>
          <w:rFonts w:hint="eastAsia"/>
          <w:color w:val="000000" w:themeColor="text1"/>
          <w14:textFill>
            <w14:solidFill>
              <w14:schemeClr w14:val="tx1"/>
            </w14:solidFill>
          </w14:textFill>
        </w:rPr>
        <w:t>）</w:t>
      </w:r>
      <w:r>
        <w:rPr>
          <w:rFonts w:ascii="Times New Roman"/>
          <w:color w:val="000000" w:themeColor="text1"/>
          <w:kern w:val="2"/>
          <w:szCs w:val="31"/>
          <w14:textFill>
            <w14:solidFill>
              <w14:schemeClr w14:val="tx1"/>
            </w14:solidFill>
          </w14:textFill>
        </w:rPr>
        <w:t>的浓度为横坐标，色谱峰面积为纵坐标，绘制标准曲线，其相关系数应不低于0.99。试样溶液中待测物的浓度应在标准曲线的线性范围内。如超出范围，应将试样溶液用</w:t>
      </w:r>
      <w:r>
        <w:rPr>
          <w:rFonts w:hint="eastAsia" w:ascii="Times New Roman"/>
          <w:color w:val="000000" w:themeColor="text1"/>
          <w:kern w:val="2"/>
          <w:szCs w:val="31"/>
          <w14:textFill>
            <w14:solidFill>
              <w14:schemeClr w14:val="tx1"/>
            </w14:solidFill>
          </w14:textFill>
        </w:rPr>
        <w:t>盐酸胍缓冲液</w:t>
      </w:r>
      <w:r>
        <w:rPr>
          <w:rFonts w:ascii="Times New Roman"/>
          <w:color w:val="000000" w:themeColor="text1"/>
          <w:kern w:val="2"/>
          <w:szCs w:val="31"/>
          <w14:textFill>
            <w14:solidFill>
              <w14:schemeClr w14:val="tx1"/>
            </w14:solidFill>
          </w14:textFill>
        </w:rPr>
        <w:t>稀释后，重新测定。</w:t>
      </w:r>
    </w:p>
    <w:p>
      <w:pPr>
        <w:pStyle w:val="45"/>
        <w:spacing w:before="312" w:after="31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试验数据处理</w:t>
      </w:r>
    </w:p>
    <w:p>
      <w:pPr>
        <w:autoSpaceDE w:val="0"/>
        <w:autoSpaceDN w:val="0"/>
        <w:adjustRightIn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试样中α-乳白蛋白</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β-乳球蛋白</w:t>
      </w:r>
      <w:r>
        <w:rPr>
          <w:rFonts w:hint="eastAsia"/>
          <w:color w:val="000000" w:themeColor="text1"/>
          <w14:textFill>
            <w14:solidFill>
              <w14:schemeClr w14:val="tx1"/>
            </w14:solidFill>
          </w14:textFill>
        </w:rPr>
        <w:t>含量以</w:t>
      </w:r>
      <w:r>
        <w:t>质量分数</w:t>
      </w:r>
      <w:r>
        <w:rPr>
          <w:rFonts w:hint="eastAsia"/>
          <w:i/>
        </w:rPr>
        <w:t>ω</w:t>
      </w:r>
      <w:r>
        <w:rPr>
          <w:i/>
          <w:vertAlign w:val="subscript"/>
        </w:rPr>
        <w:t>i</w:t>
      </w:r>
      <w:r>
        <w:t>计，数值以毫克每千克（mg/kg）表示，按式</w:t>
      </w:r>
      <w:r>
        <w:rPr>
          <w:rFonts w:hint="eastAsia"/>
        </w:rPr>
        <w:t>（2）</w:t>
      </w:r>
      <w:r>
        <w:t>计算</w:t>
      </w:r>
      <w:r>
        <w:rPr>
          <w:color w:val="000000" w:themeColor="text1"/>
          <w14:textFill>
            <w14:solidFill>
              <w14:schemeClr w14:val="tx1"/>
            </w14:solidFill>
          </w14:textFill>
        </w:rPr>
        <w:t>：</w:t>
      </w:r>
    </w:p>
    <w:p>
      <w:pPr>
        <w:autoSpaceDE w:val="0"/>
        <w:autoSpaceDN w:val="0"/>
        <w:adjustRightInd w:val="0"/>
        <w:spacing w:line="300" w:lineRule="auto"/>
        <w:ind w:firstLine="420" w:firstLineChars="200"/>
        <w:rPr>
          <w:color w:val="000000" w:themeColor="text1"/>
          <w14:textFill>
            <w14:solidFill>
              <w14:schemeClr w14:val="tx1"/>
            </w14:solidFill>
          </w14:textFill>
        </w:rPr>
      </w:pPr>
    </w:p>
    <w:p>
      <w:pPr>
        <w:pStyle w:val="23"/>
        <w:ind w:firstLine="560"/>
        <w:jc w:val="right"/>
        <w:rPr>
          <w:rFonts w:ascii="Times New Roman"/>
        </w:rPr>
      </w:pPr>
      <m:oMath>
        <m:sSub>
          <m:sSubPr>
            <m:ctrlPr>
              <w:rPr>
                <w:rFonts w:ascii="Cambria Math" w:hAnsi="Cambria Math"/>
                <w:i/>
                <w:sz w:val="28"/>
                <w:szCs w:val="28"/>
              </w:rPr>
            </m:ctrlPr>
          </m:sSubPr>
          <m:e>
            <m:r>
              <m:rPr/>
              <w:rPr>
                <w:rFonts w:ascii="Cambria Math" w:hAnsi="Cambria Math"/>
                <w:sz w:val="28"/>
                <w:szCs w:val="28"/>
              </w:rPr>
              <m:t>ω</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sz w:val="28"/>
            <w:szCs w:val="28"/>
          </w:rPr>
          <m:t>=</m:t>
        </m:r>
        <m:f>
          <m:fPr>
            <m:ctrlPr>
              <w:rPr>
                <w:rFonts w:ascii="Cambria Math" w:hAnsi="Cambria Math"/>
                <w:i/>
                <w:sz w:val="28"/>
                <w:szCs w:val="28"/>
              </w:rPr>
            </m:ctrlPr>
          </m:fPr>
          <m:num>
            <m:r>
              <m:rPr/>
              <w:rPr>
                <w:rFonts w:hint="eastAsia" w:ascii="Cambria Math"/>
                <w:sz w:val="28"/>
                <w:szCs w:val="28"/>
              </w:rPr>
              <m:t>ρ</m:t>
            </m:r>
            <m:r>
              <m:rPr/>
              <w:rPr>
                <w:rFonts w:ascii="Cambria Math"/>
                <w:sz w:val="28"/>
                <w:szCs w:val="28"/>
              </w:rPr>
              <m:t>×</m:t>
            </m:r>
            <m:sSub>
              <m:sSubPr>
                <m:ctrlPr>
                  <w:rPr>
                    <w:rFonts w:ascii="Cambria Math" w:hAnsi="Cambria Math"/>
                    <w:i/>
                    <w:sz w:val="28"/>
                    <w:szCs w:val="28"/>
                  </w:rPr>
                </m:ctrlPr>
              </m:sSubPr>
              <m:e>
                <m:r>
                  <m:rPr/>
                  <w:rPr>
                    <w:rFonts w:ascii="Cambria Math"/>
                    <w:sz w:val="28"/>
                    <w:szCs w:val="28"/>
                  </w:rPr>
                  <m:t>V</m:t>
                </m:r>
                <m:ctrlPr>
                  <w:rPr>
                    <w:rFonts w:ascii="Cambria Math" w:hAnsi="Cambria Math"/>
                    <w:i/>
                    <w:sz w:val="28"/>
                    <w:szCs w:val="28"/>
                  </w:rPr>
                </m:ctrlPr>
              </m:e>
              <m:sub>
                <m:r>
                  <m:rPr/>
                  <w:rPr>
                    <w:rFonts w:ascii="Cambria Math"/>
                    <w:sz w:val="28"/>
                    <w:szCs w:val="28"/>
                  </w:rPr>
                  <m:t>3</m:t>
                </m:r>
                <m:ctrlPr>
                  <w:rPr>
                    <w:rFonts w:ascii="Cambria Math" w:hAnsi="Cambria Math"/>
                    <w:i/>
                    <w:sz w:val="28"/>
                    <w:szCs w:val="28"/>
                  </w:rPr>
                </m:ctrlPr>
              </m:sub>
            </m:sSub>
            <m:r>
              <m:rPr/>
              <w:rPr>
                <w:rFonts w:ascii="Cambria Math"/>
                <w:sz w:val="28"/>
                <w:szCs w:val="28"/>
              </w:rPr>
              <m:t>×</m:t>
            </m:r>
            <m:sSub>
              <m:sSubPr>
                <m:ctrlPr>
                  <w:rPr>
                    <w:rFonts w:ascii="Cambria Math" w:hAnsi="Cambria Math"/>
                    <w:i/>
                    <w:sz w:val="28"/>
                    <w:szCs w:val="28"/>
                  </w:rPr>
                </m:ctrlPr>
              </m:sSubPr>
              <m:e>
                <m:r>
                  <m:rPr/>
                  <w:rPr>
                    <w:rFonts w:ascii="Cambria Math"/>
                    <w:sz w:val="28"/>
                    <w:szCs w:val="28"/>
                  </w:rPr>
                  <m:t>V</m:t>
                </m:r>
                <m:ctrlPr>
                  <w:rPr>
                    <w:rFonts w:ascii="Cambria Math" w:hAnsi="Cambria Math"/>
                    <w:i/>
                    <w:sz w:val="28"/>
                    <w:szCs w:val="28"/>
                  </w:rPr>
                </m:ctrlPr>
              </m:e>
              <m:sub>
                <m:r>
                  <m:rPr/>
                  <w:rPr>
                    <w:rFonts w:ascii="Cambria Math"/>
                    <w:sz w:val="28"/>
                    <w:szCs w:val="28"/>
                  </w:rPr>
                  <m:t>1</m:t>
                </m:r>
                <m:ctrlPr>
                  <w:rPr>
                    <w:rFonts w:ascii="Cambria Math" w:hAnsi="Cambria Math"/>
                    <w:i/>
                    <w:sz w:val="28"/>
                    <w:szCs w:val="28"/>
                  </w:rPr>
                </m:ctrlPr>
              </m:sub>
            </m:sSub>
            <m:r>
              <m:rPr/>
              <w:rPr>
                <w:rFonts w:ascii="Cambria Math"/>
                <w:sz w:val="28"/>
                <w:szCs w:val="28"/>
              </w:rPr>
              <m:t>×1000</m:t>
            </m:r>
            <m:ctrlPr>
              <w:rPr>
                <w:rFonts w:ascii="Cambria Math" w:hAnsi="Cambria Math"/>
                <w:i/>
                <w:sz w:val="28"/>
                <w:szCs w:val="28"/>
              </w:rPr>
            </m:ctrlPr>
          </m:num>
          <m:den>
            <m:r>
              <m:rPr/>
              <w:rPr>
                <w:rFonts w:ascii="Cambria Math"/>
                <w:sz w:val="28"/>
                <w:szCs w:val="28"/>
              </w:rPr>
              <m:t>m×</m:t>
            </m:r>
            <m:sSub>
              <m:sSubPr>
                <m:ctrlPr>
                  <w:rPr>
                    <w:rFonts w:ascii="Cambria Math" w:hAnsi="Cambria Math"/>
                    <w:i/>
                    <w:sz w:val="28"/>
                    <w:szCs w:val="28"/>
                  </w:rPr>
                </m:ctrlPr>
              </m:sSubPr>
              <m:e>
                <m:r>
                  <m:rPr/>
                  <w:rPr>
                    <w:rFonts w:ascii="Cambria Math"/>
                    <w:sz w:val="28"/>
                    <w:szCs w:val="28"/>
                  </w:rPr>
                  <m:t>V</m:t>
                </m:r>
                <m:ctrlPr>
                  <w:rPr>
                    <w:rFonts w:ascii="Cambria Math" w:hAnsi="Cambria Math"/>
                    <w:i/>
                    <w:sz w:val="28"/>
                    <w:szCs w:val="28"/>
                  </w:rPr>
                </m:ctrlPr>
              </m:e>
              <m:sub>
                <m:r>
                  <m:rPr/>
                  <w:rPr>
                    <w:rFonts w:ascii="Cambria Math"/>
                    <w:sz w:val="28"/>
                    <w:szCs w:val="28"/>
                  </w:rPr>
                  <m:t>2</m:t>
                </m:r>
                <m:ctrlPr>
                  <w:rPr>
                    <w:rFonts w:ascii="Cambria Math" w:hAnsi="Cambria Math"/>
                    <w:i/>
                    <w:sz w:val="28"/>
                    <w:szCs w:val="28"/>
                  </w:rPr>
                </m:ctrlPr>
              </m:sub>
            </m:sSub>
            <m:r>
              <m:rPr/>
              <w:rPr>
                <w:rFonts w:ascii="Cambria Math"/>
                <w:sz w:val="28"/>
                <w:szCs w:val="28"/>
              </w:rPr>
              <m:t>×1000</m:t>
            </m:r>
            <m:ctrlPr>
              <w:rPr>
                <w:rFonts w:ascii="Cambria Math" w:hAnsi="Cambria Math"/>
                <w:i/>
                <w:sz w:val="28"/>
                <w:szCs w:val="28"/>
              </w:rPr>
            </m:ctrlPr>
          </m:den>
        </m:f>
        <m:r>
          <m:rPr/>
          <w:rPr>
            <w:rFonts w:ascii="Cambria Math"/>
            <w:color w:val="000000" w:themeColor="text1"/>
            <w14:textFill>
              <w14:solidFill>
                <w14:schemeClr w14:val="tx1"/>
              </w14:solidFill>
            </w14:textFill>
          </w:rPr>
          <m:t>×n</m:t>
        </m:r>
      </m:oMath>
      <w:r>
        <w:rPr>
          <w:rFonts w:ascii="Times New Roman"/>
        </w:rPr>
        <w:t>……………………………………………………（2）</w:t>
      </w:r>
    </w:p>
    <w:p>
      <w:pPr>
        <w:spacing w:line="300" w:lineRule="auto"/>
        <w:jc w:val="center"/>
        <w:rPr>
          <w:color w:val="000000" w:themeColor="text1"/>
          <w:position w:val="-24"/>
          <w14:textFill>
            <w14:solidFill>
              <w14:schemeClr w14:val="tx1"/>
            </w14:solidFill>
          </w14:textFill>
        </w:rPr>
      </w:pPr>
    </w:p>
    <w:p>
      <w:pPr>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式中：</w:t>
      </w:r>
    </w:p>
    <w:p>
      <w:pPr>
        <w:spacing w:line="300" w:lineRule="auto"/>
        <w:ind w:firstLine="420" w:firstLineChars="200"/>
        <w:rPr>
          <w:color w:val="000000" w:themeColor="text1"/>
          <w14:textFill>
            <w14:solidFill>
              <w14:schemeClr w14:val="tx1"/>
            </w14:solidFill>
          </w14:textFill>
        </w:rPr>
      </w:pPr>
      <w:r>
        <w:rPr>
          <w:rFonts w:hint="eastAsia"/>
          <w:i/>
          <w:color w:val="000000" w:themeColor="text1"/>
          <w14:textFill>
            <w14:solidFill>
              <w14:schemeClr w14:val="tx1"/>
            </w14:solidFill>
          </w14:textFill>
        </w:rPr>
        <w:t>ρ</w:t>
      </w:r>
      <w:r>
        <w:rPr>
          <w:color w:val="000000" w:themeColor="text1"/>
          <w14:textFill>
            <w14:solidFill>
              <w14:schemeClr w14:val="tx1"/>
            </w14:solidFill>
          </w14:textFill>
        </w:rPr>
        <w:t>——被测组分曲线计算浓度，单位为毫克每升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mg/L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V</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上机液</w:t>
      </w:r>
      <w:r>
        <w:rPr>
          <w:color w:val="000000" w:themeColor="text1"/>
          <w14:textFill>
            <w14:solidFill>
              <w14:schemeClr w14:val="tx1"/>
            </w14:solidFill>
          </w14:textFill>
        </w:rPr>
        <w:t>定容体积，单位为毫升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V</w:t>
      </w:r>
      <w:r>
        <w:rPr>
          <w:color w:val="000000" w:themeColor="text1"/>
          <w:vertAlign w:val="subscript"/>
          <w14:textFill>
            <w14:solidFill>
              <w14:schemeClr w14:val="tx1"/>
            </w14:solidFill>
          </w14:textFill>
        </w:rPr>
        <w:t xml:space="preserve">1 </w:t>
      </w:r>
      <w:r>
        <w:rPr>
          <w:color w:val="000000" w:themeColor="text1"/>
          <w14:textFill>
            <w14:solidFill>
              <w14:schemeClr w14:val="tx1"/>
            </w14:solidFill>
          </w14:textFill>
        </w:rPr>
        <w:t>——试样处理液体积，单位为毫升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 xml:space="preserve">m </w:t>
      </w:r>
      <w:r>
        <w:rPr>
          <w:color w:val="000000" w:themeColor="text1"/>
          <w14:textFill>
            <w14:solidFill>
              <w14:schemeClr w14:val="tx1"/>
            </w14:solidFill>
          </w14:textFill>
        </w:rPr>
        <w:t>——试样质量，单位为克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V</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吸取</w:t>
      </w:r>
      <w:r>
        <w:rPr>
          <w:color w:val="000000" w:themeColor="text1"/>
          <w14:textFill>
            <w14:solidFill>
              <w14:schemeClr w14:val="tx1"/>
            </w14:solidFill>
          </w14:textFill>
        </w:rPr>
        <w:t>上清液体积，单位为毫升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1000——换算系数</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i/>
          <w:color w:val="000000" w:themeColor="text1"/>
          <w14:textFill>
            <w14:solidFill>
              <w14:schemeClr w14:val="tx1"/>
            </w14:solidFill>
          </w14:textFill>
        </w:rPr>
        <w:t>n</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超出</w:t>
      </w:r>
      <w:r>
        <w:rPr>
          <w:color w:val="000000" w:themeColor="text1"/>
          <w14:textFill>
            <w14:solidFill>
              <w14:schemeClr w14:val="tx1"/>
            </w14:solidFill>
          </w14:textFill>
        </w:rPr>
        <w:t>曲线范围后的稀释倍数</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t>测定结果以平行测定的算术平均值表示，计算结果保留</w:t>
      </w:r>
      <w:r>
        <w:rPr>
          <w:rFonts w:hint="eastAsia"/>
        </w:rPr>
        <w:t>三位</w:t>
      </w:r>
      <w:r>
        <w:t>有效数字</w:t>
      </w:r>
      <w:r>
        <w:rPr>
          <w:color w:val="000000" w:themeColor="text1"/>
          <w14:textFill>
            <w14:solidFill>
              <w14:schemeClr w14:val="tx1"/>
            </w14:solidFill>
          </w14:textFill>
        </w:rPr>
        <w:t>。</w:t>
      </w:r>
    </w:p>
    <w:p>
      <w:pPr>
        <w:pStyle w:val="45"/>
        <w:spacing w:before="312" w:after="312"/>
        <w:rPr>
          <w:rFonts w:ascii="Times New Roman"/>
        </w:rPr>
      </w:pPr>
      <w:r>
        <w:rPr>
          <w:rFonts w:ascii="Times New Roman"/>
          <w:color w:val="000000" w:themeColor="text1"/>
          <w:szCs w:val="22"/>
          <w14:textFill>
            <w14:solidFill>
              <w14:schemeClr w14:val="tx1"/>
            </w14:solidFill>
          </w14:textFill>
        </w:rPr>
        <w:t>精密度</w:t>
      </w:r>
    </w:p>
    <w:p>
      <w:pPr>
        <w:tabs>
          <w:tab w:val="center" w:pos="4201"/>
          <w:tab w:val="right" w:leader="dot" w:pos="9298"/>
        </w:tabs>
        <w:autoSpaceDE w:val="0"/>
        <w:autoSpaceDN w:val="0"/>
        <w:ind w:firstLine="315" w:firstLineChars="150"/>
        <w:rPr>
          <w:kern w:val="0"/>
          <w:szCs w:val="20"/>
        </w:rPr>
      </w:pPr>
      <w:r>
        <w:rPr>
          <w:kern w:val="0"/>
          <w:szCs w:val="20"/>
        </w:rPr>
        <w:t>在重</w:t>
      </w:r>
      <w:r>
        <w:rPr>
          <w:rFonts w:hint="eastAsia"/>
          <w:kern w:val="0"/>
          <w:szCs w:val="20"/>
        </w:rPr>
        <w:t>复</w:t>
      </w:r>
      <w:r>
        <w:rPr>
          <w:kern w:val="0"/>
          <w:szCs w:val="20"/>
        </w:rPr>
        <w:t>性条件下获得的两次独立测试结果的绝对差值不大于算术平均值的10%。</w:t>
      </w:r>
    </w:p>
    <w:p>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br w:type="page"/>
      </w:r>
      <w:r>
        <w:rPr>
          <w:rFonts w:eastAsia="黑体"/>
          <w:color w:val="000000" w:themeColor="text1"/>
          <w14:textFill>
            <w14:solidFill>
              <w14:schemeClr w14:val="tx1"/>
            </w14:solidFill>
          </w14:textFill>
        </w:rPr>
        <w:t>附录A</w:t>
      </w:r>
    </w:p>
    <w:p>
      <w:pPr>
        <w:autoSpaceDE w:val="0"/>
        <w:autoSpaceDN w:val="0"/>
        <w:adjustRightInd w:val="0"/>
        <w:spacing w:line="30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（资料性）</w:t>
      </w:r>
    </w:p>
    <w:p>
      <w:pPr>
        <w:autoSpaceDE w:val="0"/>
        <w:autoSpaceDN w:val="0"/>
        <w:adjustRightInd w:val="0"/>
        <w:spacing w:line="300" w:lineRule="auto"/>
        <w:jc w:val="center"/>
        <w:rPr>
          <w:rFonts w:ascii="黑体" w:eastAsia="黑体"/>
        </w:rPr>
      </w:pPr>
      <w:r>
        <w:rPr>
          <w:rFonts w:ascii="黑体" w:eastAsia="黑体"/>
        </w:rPr>
        <w:t>α-乳白蛋白和β-乳球蛋白</w:t>
      </w:r>
      <w:r>
        <w:rPr>
          <w:rFonts w:hint="eastAsia" w:ascii="黑体" w:eastAsia="黑体"/>
        </w:rPr>
        <w:t>反相液相色谱图</w:t>
      </w:r>
    </w:p>
    <w:p>
      <w:pPr>
        <w:autoSpaceDE w:val="0"/>
        <w:autoSpaceDN w:val="0"/>
        <w:adjustRightInd w:val="0"/>
        <w:spacing w:line="300" w:lineRule="auto"/>
        <w:jc w:val="center"/>
        <w:rPr>
          <w:rFonts w:eastAsia="黑体"/>
          <w:color w:val="000000" w:themeColor="text1"/>
          <w14:textFill>
            <w14:solidFill>
              <w14:schemeClr w14:val="tx1"/>
            </w14:solidFill>
          </w14:textFill>
        </w:rPr>
      </w:pPr>
    </w:p>
    <w:p>
      <w:pPr>
        <w:autoSpaceDE w:val="0"/>
        <w:autoSpaceDN w:val="0"/>
        <w:adjustRightInd w:val="0"/>
        <w:spacing w:line="300" w:lineRule="auto"/>
        <w:ind w:firstLine="420" w:firstLineChars="200"/>
        <w:rPr>
          <w:rFonts w:ascii="黑体" w:eastAsia="黑体"/>
        </w:rPr>
      </w:pPr>
      <w:r>
        <w:rPr>
          <w:kern w:val="0"/>
          <w:szCs w:val="20"/>
        </w:rPr>
        <w:t>α</w:t>
      </w:r>
      <w:r>
        <w:rPr>
          <w:rFonts w:hint="eastAsia"/>
          <w:kern w:val="0"/>
          <w:szCs w:val="20"/>
        </w:rPr>
        <w:t>-乳白蛋白</w:t>
      </w:r>
      <w:r>
        <w:rPr>
          <w:kern w:val="0"/>
          <w:szCs w:val="20"/>
        </w:rPr>
        <w:t>和β-</w:t>
      </w:r>
      <w:r>
        <w:rPr>
          <w:rFonts w:hint="eastAsia"/>
          <w:kern w:val="0"/>
          <w:szCs w:val="20"/>
        </w:rPr>
        <w:t>乳球蛋白反相液相色谱图见</w:t>
      </w:r>
      <w:r>
        <w:rPr>
          <w:kern w:val="0"/>
          <w:szCs w:val="20"/>
        </w:rPr>
        <w:t>图</w:t>
      </w:r>
      <w:r>
        <w:rPr>
          <w:rFonts w:hint="eastAsia"/>
          <w:kern w:val="0"/>
          <w:szCs w:val="20"/>
        </w:rPr>
        <w:t>A.1。</w:t>
      </w:r>
    </w:p>
    <w:p>
      <w:pPr>
        <w:autoSpaceDE w:val="0"/>
        <w:autoSpaceDN w:val="0"/>
        <w:adjustRightInd w:val="0"/>
        <w:spacing w:line="300" w:lineRule="auto"/>
        <w:jc w:val="center"/>
        <w:rPr>
          <w:rFonts w:eastAsia="黑体"/>
          <w:color w:val="000000" w:themeColor="text1"/>
          <w14:textFill>
            <w14:solidFill>
              <w14:schemeClr w14:val="tx1"/>
            </w14:solidFill>
          </w14:textFill>
        </w:rPr>
      </w:pPr>
      <w:bookmarkStart w:id="24" w:name="_Hlk7709244"/>
      <w:r>
        <w:rPr>
          <w:rFonts w:hint="eastAsia" w:eastAsia="黑体"/>
          <w:color w:val="000000" w:themeColor="text1"/>
          <w14:textFill>
            <w14:solidFill>
              <w14:schemeClr w14:val="tx1"/>
            </w14:solidFill>
          </w14:textFill>
        </w:rPr>
        <w:drawing>
          <wp:inline distT="0" distB="0" distL="0" distR="0">
            <wp:extent cx="5276850" cy="2682875"/>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86400" cy="2687847"/>
                    </a:xfrm>
                    <a:prstGeom prst="rect">
                      <a:avLst/>
                    </a:prstGeom>
                  </pic:spPr>
                </pic:pic>
              </a:graphicData>
            </a:graphic>
          </wp:inline>
        </w:drawing>
      </w:r>
    </w:p>
    <w:p>
      <w:pPr>
        <w:autoSpaceDE w:val="0"/>
        <w:autoSpaceDN w:val="0"/>
        <w:adjustRightInd w:val="0"/>
        <w:spacing w:line="300" w:lineRule="auto"/>
        <w:jc w:val="left"/>
        <w:rPr>
          <w:rFonts w:eastAsia="黑体"/>
          <w:color w:val="000000" w:themeColor="text1"/>
          <w14:textFill>
            <w14:solidFill>
              <w14:schemeClr w14:val="tx1"/>
            </w14:solidFill>
          </w14:textFill>
        </w:rPr>
      </w:pPr>
    </w:p>
    <w:p>
      <w:pPr>
        <w:autoSpaceDE w:val="0"/>
        <w:autoSpaceDN w:val="0"/>
        <w:adjustRightInd w:val="0"/>
        <w:spacing w:line="30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图 A.1  α-乳白蛋白和β-乳球蛋白标准溶液（100 </w:t>
      </w:r>
      <w:r>
        <w:rPr>
          <w:rFonts w:eastAsia="黑体"/>
          <w:bCs/>
          <w:color w:val="000000" w:themeColor="text1"/>
          <w14:textFill>
            <w14:solidFill>
              <w14:schemeClr w14:val="tx1"/>
            </w14:solidFill>
          </w14:textFill>
        </w:rPr>
        <w:t>mg/L</w:t>
      </w:r>
      <w:r>
        <w:rPr>
          <w:rFonts w:eastAsia="黑体"/>
          <w:color w:val="000000" w:themeColor="text1"/>
          <w14:textFill>
            <w14:solidFill>
              <w14:schemeClr w14:val="tx1"/>
            </w14:solidFill>
          </w14:textFill>
        </w:rPr>
        <w:t>）</w:t>
      </w:r>
      <w:r>
        <w:rPr>
          <w:rFonts w:hint="eastAsia" w:eastAsia="黑体"/>
          <w:color w:val="000000" w:themeColor="text1"/>
          <w14:textFill>
            <w14:solidFill>
              <w14:schemeClr w14:val="tx1"/>
            </w14:solidFill>
          </w14:textFill>
        </w:rPr>
        <w:t>反相</w:t>
      </w:r>
      <w:r>
        <w:rPr>
          <w:rFonts w:eastAsia="黑体"/>
          <w:color w:val="000000" w:themeColor="text1"/>
          <w14:textFill>
            <w14:solidFill>
              <w14:schemeClr w14:val="tx1"/>
            </w14:solidFill>
          </w14:textFill>
        </w:rPr>
        <w:t>液相色谱图</w:t>
      </w:r>
    </w:p>
    <w:p>
      <w:pPr>
        <w:autoSpaceDE w:val="0"/>
        <w:autoSpaceDN w:val="0"/>
        <w:adjustRightInd w:val="0"/>
        <w:spacing w:line="300" w:lineRule="auto"/>
        <w:jc w:val="center"/>
        <w:rPr>
          <w:rFonts w:eastAsia="黑体"/>
          <w:color w:val="000000" w:themeColor="text1"/>
          <w14:textFill>
            <w14:solidFill>
              <w14:schemeClr w14:val="tx1"/>
            </w14:solidFill>
          </w14:textFill>
        </w:rPr>
      </w:pPr>
    </w:p>
    <w:p>
      <w:pPr>
        <w:autoSpaceDE w:val="0"/>
        <w:autoSpaceDN w:val="0"/>
        <w:adjustRightInd w:val="0"/>
        <w:spacing w:line="300" w:lineRule="auto"/>
        <w:jc w:val="center"/>
        <w:rPr>
          <w:rFonts w:eastAsia="黑体"/>
          <w:color w:val="000000" w:themeColor="text1"/>
          <w14:textFill>
            <w14:solidFill>
              <w14:schemeClr w14:val="tx1"/>
            </w14:solidFill>
          </w14:textFill>
        </w:rPr>
        <w:sectPr>
          <w:footerReference r:id="rId7" w:type="default"/>
          <w:pgSz w:w="11906" w:h="16838"/>
          <w:pgMar w:top="567" w:right="1134" w:bottom="1134" w:left="1418" w:header="1418" w:footer="1134" w:gutter="0"/>
          <w:pgNumType w:start="1"/>
          <w:cols w:space="425" w:num="1"/>
          <w:formProt w:val="0"/>
          <w:docGrid w:type="lines" w:linePitch="312" w:charSpace="0"/>
        </w:sectPr>
      </w:pPr>
    </w:p>
    <w:p>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附录</w:t>
      </w:r>
      <w:r>
        <w:rPr>
          <w:rFonts w:hint="eastAsia" w:eastAsia="黑体"/>
          <w:color w:val="000000" w:themeColor="text1"/>
          <w14:textFill>
            <w14:solidFill>
              <w14:schemeClr w14:val="tx1"/>
            </w14:solidFill>
          </w14:textFill>
        </w:rPr>
        <w:t>B</w:t>
      </w:r>
    </w:p>
    <w:p>
      <w:pPr>
        <w:autoSpaceDE w:val="0"/>
        <w:autoSpaceDN w:val="0"/>
        <w:adjustRightInd w:val="0"/>
        <w:spacing w:line="30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（资料性）</w:t>
      </w:r>
    </w:p>
    <w:p>
      <w:pPr>
        <w:autoSpaceDE w:val="0"/>
        <w:autoSpaceDN w:val="0"/>
        <w:adjustRightInd w:val="0"/>
        <w:spacing w:line="300" w:lineRule="auto"/>
        <w:jc w:val="center"/>
        <w:rPr>
          <w:rFonts w:eastAsia="黑体"/>
          <w:color w:val="000000" w:themeColor="text1"/>
          <w14:textFill>
            <w14:solidFill>
              <w14:schemeClr w14:val="tx1"/>
            </w14:solidFill>
          </w14:textFill>
        </w:rPr>
      </w:pPr>
      <w:r>
        <w:rPr>
          <w:rFonts w:ascii="黑体" w:eastAsia="黑体"/>
        </w:rPr>
        <w:t>α-乳白蛋白和β-乳球蛋白</w:t>
      </w:r>
      <w:r>
        <w:rPr>
          <w:rFonts w:eastAsia="黑体"/>
          <w:color w:val="000000" w:themeColor="text1"/>
          <w14:textFill>
            <w14:solidFill>
              <w14:schemeClr w14:val="tx1"/>
            </w14:solidFill>
          </w14:textFill>
        </w:rPr>
        <w:t>凝胶渗透色谱图</w:t>
      </w:r>
    </w:p>
    <w:p>
      <w:pPr>
        <w:autoSpaceDE w:val="0"/>
        <w:autoSpaceDN w:val="0"/>
        <w:adjustRightInd w:val="0"/>
        <w:spacing w:line="300" w:lineRule="auto"/>
        <w:jc w:val="center"/>
        <w:rPr>
          <w:rFonts w:eastAsia="黑体"/>
          <w:color w:val="000000" w:themeColor="text1"/>
          <w14:textFill>
            <w14:solidFill>
              <w14:schemeClr w14:val="tx1"/>
            </w14:solidFill>
          </w14:textFill>
        </w:rPr>
      </w:pPr>
    </w:p>
    <w:bookmarkEnd w:id="24"/>
    <w:p>
      <w:pPr>
        <w:autoSpaceDE w:val="0"/>
        <w:autoSpaceDN w:val="0"/>
        <w:adjustRightInd w:val="0"/>
        <w:spacing w:line="300" w:lineRule="auto"/>
        <w:ind w:firstLine="420" w:firstLineChars="200"/>
        <w:rPr>
          <w:rFonts w:hint="eastAsia" w:ascii="黑体" w:eastAsia="黑体"/>
        </w:rPr>
      </w:pPr>
      <w:r>
        <w:rPr>
          <w:kern w:val="0"/>
          <w:szCs w:val="20"/>
        </w:rPr>
        <w:t>α</w:t>
      </w:r>
      <w:r>
        <w:rPr>
          <w:rFonts w:hint="eastAsia"/>
          <w:kern w:val="0"/>
          <w:szCs w:val="20"/>
        </w:rPr>
        <w:t>-乳白蛋白</w:t>
      </w:r>
      <w:r>
        <w:rPr>
          <w:kern w:val="0"/>
          <w:szCs w:val="20"/>
        </w:rPr>
        <w:t>和β-</w:t>
      </w:r>
      <w:r>
        <w:rPr>
          <w:rFonts w:hint="eastAsia"/>
          <w:kern w:val="0"/>
          <w:szCs w:val="20"/>
        </w:rPr>
        <w:t>乳球蛋白凝胶渗透色谱图见</w:t>
      </w:r>
      <w:r>
        <w:rPr>
          <w:kern w:val="0"/>
          <w:szCs w:val="20"/>
        </w:rPr>
        <w:t>图</w:t>
      </w:r>
      <w:r>
        <w:rPr>
          <w:rFonts w:hint="eastAsia"/>
          <w:kern w:val="0"/>
          <w:szCs w:val="20"/>
        </w:rPr>
        <w:t>B.</w:t>
      </w:r>
      <w:r>
        <w:rPr>
          <w:kern w:val="0"/>
          <w:szCs w:val="20"/>
        </w:rPr>
        <w:t>1</w:t>
      </w:r>
      <w:r>
        <w:rPr>
          <w:rFonts w:hint="eastAsia"/>
          <w:kern w:val="0"/>
          <w:szCs w:val="20"/>
        </w:rPr>
        <w:t>。</w:t>
      </w:r>
    </w:p>
    <w:p>
      <w:pPr>
        <w:autoSpaceDE w:val="0"/>
        <w:autoSpaceDN w:val="0"/>
        <w:adjustRightInd w:val="0"/>
        <w:spacing w:line="300" w:lineRule="auto"/>
        <w:jc w:val="center"/>
        <w:rPr>
          <w:rFonts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drawing>
          <wp:inline distT="0" distB="0" distL="0" distR="0">
            <wp:extent cx="5476240" cy="2717165"/>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99810" cy="2728738"/>
                    </a:xfrm>
                    <a:prstGeom prst="rect">
                      <a:avLst/>
                    </a:prstGeom>
                  </pic:spPr>
                </pic:pic>
              </a:graphicData>
            </a:graphic>
          </wp:inline>
        </w:drawing>
      </w:r>
    </w:p>
    <w:p>
      <w:pPr>
        <w:autoSpaceDE w:val="0"/>
        <w:autoSpaceDN w:val="0"/>
        <w:adjustRightInd w:val="0"/>
        <w:spacing w:line="30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图 </w:t>
      </w:r>
      <w:r>
        <w:rPr>
          <w:rFonts w:hint="eastAsia" w:eastAsia="黑体"/>
          <w:color w:val="000000" w:themeColor="text1"/>
          <w14:textFill>
            <w14:solidFill>
              <w14:schemeClr w14:val="tx1"/>
            </w14:solidFill>
          </w14:textFill>
        </w:rPr>
        <w:t>B</w:t>
      </w:r>
      <w:r>
        <w:rPr>
          <w:rFonts w:eastAsia="黑体"/>
          <w:color w:val="000000" w:themeColor="text1"/>
          <w14:textFill>
            <w14:solidFill>
              <w14:schemeClr w14:val="tx1"/>
            </w14:solidFill>
          </w14:textFill>
        </w:rPr>
        <w:t xml:space="preserve">.1  α-乳白蛋白和β-乳球蛋白标准溶液（300 </w:t>
      </w:r>
      <w:r>
        <w:rPr>
          <w:rFonts w:eastAsia="黑体"/>
          <w:bCs/>
          <w:color w:val="000000" w:themeColor="text1"/>
          <w14:textFill>
            <w14:solidFill>
              <w14:schemeClr w14:val="tx1"/>
            </w14:solidFill>
          </w14:textFill>
        </w:rPr>
        <w:t>mg/L</w:t>
      </w:r>
      <w:r>
        <w:rPr>
          <w:rFonts w:eastAsia="黑体"/>
          <w:color w:val="000000" w:themeColor="text1"/>
          <w14:textFill>
            <w14:solidFill>
              <w14:schemeClr w14:val="tx1"/>
            </w14:solidFill>
          </w14:textFill>
        </w:rPr>
        <w:t>）凝胶渗透色谱图</w:t>
      </w:r>
    </w:p>
    <w:p>
      <w:pPr>
        <w:rPr>
          <w:color w:val="000000" w:themeColor="text1"/>
          <w14:textFill>
            <w14:solidFill>
              <w14:schemeClr w14:val="tx1"/>
            </w14:solidFill>
          </w14:textFill>
        </w:rPr>
      </w:pPr>
    </w:p>
    <w:p>
      <w:pPr>
        <w:pStyle w:val="129"/>
        <w:framePr w:wrap="around" w:y="1"/>
        <w:rPr>
          <w:color w:val="000000" w:themeColor="text1"/>
          <w14:textFill>
            <w14:solidFill>
              <w14:schemeClr w14:val="tx1"/>
            </w14:solidFill>
          </w14:textFill>
        </w:rPr>
      </w:pPr>
      <w:r>
        <w:rPr>
          <w:color w:val="000000" w:themeColor="text1"/>
          <w14:textFill>
            <w14:solidFill>
              <w14:schemeClr w14:val="tx1"/>
            </w14:solidFill>
          </w14:textFill>
        </w:rPr>
        <w:t>_________________________</w:t>
      </w:r>
    </w:p>
    <w:p>
      <w:pPr>
        <w:rPr>
          <w:color w:val="000000" w:themeColor="text1"/>
          <w14:textFill>
            <w14:solidFill>
              <w14:schemeClr w14:val="tx1"/>
            </w14:solidFill>
          </w14:textFill>
        </w:rPr>
      </w:pPr>
    </w:p>
    <w:p>
      <w:pPr>
        <w:pStyle w:val="23"/>
        <w:rPr>
          <w:rFonts w:ascii="Times New Roman"/>
          <w:color w:val="000000" w:themeColor="text1"/>
          <w14:textFill>
            <w14:solidFill>
              <w14:schemeClr w14:val="tx1"/>
            </w14:solidFill>
          </w14:textFill>
        </w:rPr>
      </w:pPr>
    </w:p>
    <w:sectPr>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038200"/>
    </w:sdtPr>
    <w:sdtContent>
      <w:p>
        <w:pPr>
          <w:pStyle w:val="17"/>
          <w:jc w:val="left"/>
        </w:pPr>
        <w:r>
          <w:fldChar w:fldCharType="begin"/>
        </w:r>
        <w:r>
          <w:instrText xml:space="preserve">PAGE   \* MERGEFORMAT</w:instrText>
        </w:r>
        <w:r>
          <w:fldChar w:fldCharType="separate"/>
        </w:r>
        <w:r>
          <w:rPr>
            <w:lang w:val="zh-CN"/>
          </w:rPr>
          <w:t>8</w:t>
        </w:r>
        <w:r>
          <w:fldChar w:fldCharType="end"/>
        </w:r>
      </w:p>
    </w:sdtContent>
  </w:sdt>
  <w:p>
    <w:pPr>
      <w:pStyle w:val="17"/>
      <w:tabs>
        <w:tab w:val="left" w:pos="19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3"/>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5VbJsgBAACa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fL&#10;7E8foMa2+4CNaXjnB+yd84DJLHtQ0eY3CiJYR6jz1V05JCLyR+vVel1hSWBtPiA+e/g8REjvpbck&#10;Bw2NuL7iKj99hDS2zi15mvN32piyQuP+SSBmzrDMfeSYozTsh0nQ3rdn1NPj5hvq8KJTYj44NBb5&#10;pTmIc7Cfg2OI+tAhtWXhBeH2mJBE4ZYnjLDTYFxZUTddr3wnHp9L18Mv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uVWybIAQAAmgMAAA4AAAAAAAAAAQAgAAAAHgEAAGRycy9lMm9Eb2Mu&#10;eG1sUEsFBgAAAAAGAAYAWQEAAFgFAAAAAA==&#10;">
              <v:fill on="f" focussize="0,0"/>
              <v:stroke on="f"/>
              <v:imagedata o:title=""/>
              <o:lock v:ext="edit" aspectratio="f"/>
              <v:textbox inset="0mm,0mm,0mm,0mm" style="mso-fit-shape-to-text:t;">
                <w:txbxContent>
                  <w:p>
                    <w:pPr>
                      <w:pStyle w:val="43"/>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94823"/>
    </w:sdtPr>
    <w:sdtContent>
      <w:p>
        <w:pPr>
          <w:pStyle w:val="17"/>
        </w:pPr>
        <w:r>
          <w:fldChar w:fldCharType="begin"/>
        </w:r>
        <w:r>
          <w:instrText xml:space="preserve">PAGE   \* MERGEFORMAT</w:instrText>
        </w:r>
        <w:r>
          <w:fldChar w:fldCharType="separate"/>
        </w:r>
        <w:r>
          <w:rPr>
            <w:lang w:val="zh-CN"/>
          </w:rPr>
          <w:t>9</w:t>
        </w:r>
        <w:r>
          <w:fldChar w:fldCharType="end"/>
        </w:r>
      </w:p>
    </w:sdtContent>
  </w:sdt>
  <w:p>
    <w:pPr>
      <w:pStyle w:val="43"/>
      <w:tabs>
        <w:tab w:val="right" w:pos="9156"/>
      </w:tabs>
      <w:ind w:right="197" w:rightChars="94" w:firstLine="180" w:firstLineChars="100"/>
      <w:jc w:val="left"/>
      <w:rPr>
        <w:rFonts w:asci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left"/>
    </w:pPr>
    <w:r>
      <w:rPr>
        <w:rFonts w:hint="eastAsia"/>
      </w:rPr>
      <w:t>NY</w:t>
    </w:r>
    <w:r>
      <w:t>/T XXXXX—XXXX</w:t>
    </w:r>
  </w:p>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rFonts w:hint="eastAsia"/>
      </w:rPr>
      <w:t>NY</w:t>
    </w:r>
    <w:r>
      <w:t>/T XXXXX—XXXX</w:t>
    </w:r>
  </w:p>
  <w:p>
    <w:pPr>
      <w:pStyle w:val="44"/>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36D7877"/>
    <w:multiLevelType w:val="multilevel"/>
    <w:tmpl w:val="136D7877"/>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6"/>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6"/>
      <w:suff w:val="nothing"/>
      <w:lvlText w:val="表%1　"/>
      <w:lvlJc w:val="left"/>
      <w:pPr>
        <w:ind w:left="3969" w:firstLine="0"/>
      </w:pPr>
      <w:rPr>
        <w:rFonts w:hint="eastAsia" w:ascii="黑体" w:hAnsi="Times New Roman" w:eastAsia="黑体"/>
        <w:b w:val="0"/>
        <w:i w:val="0"/>
        <w:sz w:val="21"/>
      </w:rPr>
    </w:lvl>
    <w:lvl w:ilvl="1" w:tentative="0">
      <w:start w:val="1"/>
      <w:numFmt w:val="decimal"/>
      <w:lvlText w:val="%1.%2"/>
      <w:lvlJc w:val="left"/>
      <w:pPr>
        <w:tabs>
          <w:tab w:val="left" w:pos="4961"/>
        </w:tabs>
        <w:ind w:left="4961" w:hanging="567"/>
      </w:pPr>
      <w:rPr>
        <w:rFonts w:hint="eastAsia"/>
      </w:rPr>
    </w:lvl>
    <w:lvl w:ilvl="2" w:tentative="0">
      <w:start w:val="1"/>
      <w:numFmt w:val="decimal"/>
      <w:lvlText w:val="%1.%2.%3"/>
      <w:lvlJc w:val="left"/>
      <w:pPr>
        <w:tabs>
          <w:tab w:val="left" w:pos="5387"/>
        </w:tabs>
        <w:ind w:left="5387" w:hanging="567"/>
      </w:pPr>
      <w:rPr>
        <w:rFonts w:hint="eastAsia"/>
      </w:rPr>
    </w:lvl>
    <w:lvl w:ilvl="3" w:tentative="0">
      <w:start w:val="1"/>
      <w:numFmt w:val="decimal"/>
      <w:lvlText w:val="%1.%2.%3.%4"/>
      <w:lvlJc w:val="left"/>
      <w:pPr>
        <w:tabs>
          <w:tab w:val="left" w:pos="5953"/>
        </w:tabs>
        <w:ind w:left="5953" w:hanging="708"/>
      </w:pPr>
      <w:rPr>
        <w:rFonts w:hint="eastAsia"/>
      </w:rPr>
    </w:lvl>
    <w:lvl w:ilvl="4" w:tentative="0">
      <w:start w:val="1"/>
      <w:numFmt w:val="decimal"/>
      <w:lvlText w:val="%1.%2.%3.%4.%5"/>
      <w:lvlJc w:val="left"/>
      <w:pPr>
        <w:tabs>
          <w:tab w:val="left" w:pos="6520"/>
        </w:tabs>
        <w:ind w:left="6520" w:hanging="850"/>
      </w:pPr>
      <w:rPr>
        <w:rFonts w:hint="eastAsia"/>
      </w:rPr>
    </w:lvl>
    <w:lvl w:ilvl="5" w:tentative="0">
      <w:start w:val="1"/>
      <w:numFmt w:val="decimal"/>
      <w:lvlText w:val="%1.%2.%3.%4.%5.%6"/>
      <w:lvlJc w:val="left"/>
      <w:pPr>
        <w:tabs>
          <w:tab w:val="left" w:pos="7229"/>
        </w:tabs>
        <w:ind w:left="7229" w:hanging="1134"/>
      </w:pPr>
      <w:rPr>
        <w:rFonts w:hint="eastAsia"/>
      </w:rPr>
    </w:lvl>
    <w:lvl w:ilvl="6" w:tentative="0">
      <w:start w:val="1"/>
      <w:numFmt w:val="decimal"/>
      <w:lvlText w:val="%1.%2.%3.%4.%5.%6.%7"/>
      <w:lvlJc w:val="left"/>
      <w:pPr>
        <w:tabs>
          <w:tab w:val="left" w:pos="7796"/>
        </w:tabs>
        <w:ind w:left="7796" w:hanging="1276"/>
      </w:pPr>
      <w:rPr>
        <w:rFonts w:hint="eastAsia"/>
      </w:rPr>
    </w:lvl>
    <w:lvl w:ilvl="7" w:tentative="0">
      <w:start w:val="1"/>
      <w:numFmt w:val="decimal"/>
      <w:lvlText w:val="%1.%2.%3.%4.%5.%6.%7.%8"/>
      <w:lvlJc w:val="left"/>
      <w:pPr>
        <w:tabs>
          <w:tab w:val="left" w:pos="8363"/>
        </w:tabs>
        <w:ind w:left="8363" w:hanging="1418"/>
      </w:pPr>
      <w:rPr>
        <w:rFonts w:hint="eastAsia"/>
      </w:rPr>
    </w:lvl>
    <w:lvl w:ilvl="8" w:tentative="0">
      <w:start w:val="1"/>
      <w:numFmt w:val="decimal"/>
      <w:lvlText w:val="%1.%2.%3.%4.%5.%6.%7.%8.%9"/>
      <w:lvlJc w:val="left"/>
      <w:pPr>
        <w:tabs>
          <w:tab w:val="left" w:pos="9071"/>
        </w:tabs>
        <w:ind w:left="9071" w:hanging="1700"/>
      </w:pPr>
      <w:rPr>
        <w:rFonts w:hint="eastAsia"/>
      </w:rPr>
    </w:lvl>
  </w:abstractNum>
  <w:abstractNum w:abstractNumId="16">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992564A"/>
    <w:multiLevelType w:val="multilevel"/>
    <w:tmpl w:val="6992564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5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2"/>
  </w:num>
  <w:num w:numId="5">
    <w:abstractNumId w:val="12"/>
  </w:num>
  <w:num w:numId="6">
    <w:abstractNumId w:val="19"/>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8"/>
  </w:num>
  <w:num w:numId="14">
    <w:abstractNumId w:val="9"/>
  </w:num>
  <w:num w:numId="15">
    <w:abstractNumId w:val="1"/>
  </w:num>
  <w:num w:numId="16">
    <w:abstractNumId w:val="4"/>
  </w:num>
  <w:num w:numId="17">
    <w:abstractNumId w:val="15"/>
  </w:num>
  <w:num w:numId="18">
    <w:abstractNumId w:val="3"/>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GRkNTkyYTMwYTk3NDI2ZDFmYzYxZGM4MDgyOGQifQ=="/>
  </w:docVars>
  <w:rsids>
    <w:rsidRoot w:val="00035925"/>
    <w:rsid w:val="00000244"/>
    <w:rsid w:val="00000431"/>
    <w:rsid w:val="000016E1"/>
    <w:rsid w:val="0000185F"/>
    <w:rsid w:val="000033CD"/>
    <w:rsid w:val="00003790"/>
    <w:rsid w:val="00003FEC"/>
    <w:rsid w:val="0000586F"/>
    <w:rsid w:val="00005A95"/>
    <w:rsid w:val="000066CC"/>
    <w:rsid w:val="00006895"/>
    <w:rsid w:val="000074CE"/>
    <w:rsid w:val="000114AA"/>
    <w:rsid w:val="00013911"/>
    <w:rsid w:val="00013D86"/>
    <w:rsid w:val="00013E02"/>
    <w:rsid w:val="00016086"/>
    <w:rsid w:val="00016275"/>
    <w:rsid w:val="000162D7"/>
    <w:rsid w:val="00016BB8"/>
    <w:rsid w:val="00021000"/>
    <w:rsid w:val="00021418"/>
    <w:rsid w:val="0002143C"/>
    <w:rsid w:val="00022B29"/>
    <w:rsid w:val="0002388B"/>
    <w:rsid w:val="00023E76"/>
    <w:rsid w:val="0002445F"/>
    <w:rsid w:val="00024578"/>
    <w:rsid w:val="00024FC0"/>
    <w:rsid w:val="00025A52"/>
    <w:rsid w:val="00025A65"/>
    <w:rsid w:val="0002646D"/>
    <w:rsid w:val="00026C31"/>
    <w:rsid w:val="00027280"/>
    <w:rsid w:val="00027D59"/>
    <w:rsid w:val="000301AB"/>
    <w:rsid w:val="000303B0"/>
    <w:rsid w:val="00030EA0"/>
    <w:rsid w:val="00031C50"/>
    <w:rsid w:val="000320A7"/>
    <w:rsid w:val="000321DA"/>
    <w:rsid w:val="000327FF"/>
    <w:rsid w:val="000341D9"/>
    <w:rsid w:val="00034493"/>
    <w:rsid w:val="0003460B"/>
    <w:rsid w:val="00034CF1"/>
    <w:rsid w:val="0003521C"/>
    <w:rsid w:val="00035925"/>
    <w:rsid w:val="00035D08"/>
    <w:rsid w:val="00035F78"/>
    <w:rsid w:val="000364C5"/>
    <w:rsid w:val="00037872"/>
    <w:rsid w:val="00037C82"/>
    <w:rsid w:val="000429A8"/>
    <w:rsid w:val="00043293"/>
    <w:rsid w:val="00043778"/>
    <w:rsid w:val="00043E00"/>
    <w:rsid w:val="000451EB"/>
    <w:rsid w:val="00045216"/>
    <w:rsid w:val="000452C5"/>
    <w:rsid w:val="00046674"/>
    <w:rsid w:val="00047172"/>
    <w:rsid w:val="000501A8"/>
    <w:rsid w:val="00051B0C"/>
    <w:rsid w:val="00052F39"/>
    <w:rsid w:val="00054C19"/>
    <w:rsid w:val="00056009"/>
    <w:rsid w:val="00056176"/>
    <w:rsid w:val="0005753E"/>
    <w:rsid w:val="00057D4B"/>
    <w:rsid w:val="0006114C"/>
    <w:rsid w:val="00062B47"/>
    <w:rsid w:val="00062D97"/>
    <w:rsid w:val="00062E55"/>
    <w:rsid w:val="00063608"/>
    <w:rsid w:val="0006379B"/>
    <w:rsid w:val="00063837"/>
    <w:rsid w:val="00064185"/>
    <w:rsid w:val="000649B7"/>
    <w:rsid w:val="00064B97"/>
    <w:rsid w:val="00064ED1"/>
    <w:rsid w:val="00065CD1"/>
    <w:rsid w:val="00065CD6"/>
    <w:rsid w:val="00067CDF"/>
    <w:rsid w:val="00070538"/>
    <w:rsid w:val="00071617"/>
    <w:rsid w:val="000745D5"/>
    <w:rsid w:val="00074CF6"/>
    <w:rsid w:val="00074FBE"/>
    <w:rsid w:val="00075732"/>
    <w:rsid w:val="000778C3"/>
    <w:rsid w:val="00077E99"/>
    <w:rsid w:val="00081EFC"/>
    <w:rsid w:val="00083A09"/>
    <w:rsid w:val="00084EE2"/>
    <w:rsid w:val="00084FC5"/>
    <w:rsid w:val="000850A5"/>
    <w:rsid w:val="0008615D"/>
    <w:rsid w:val="000879F9"/>
    <w:rsid w:val="00087D9C"/>
    <w:rsid w:val="0009005E"/>
    <w:rsid w:val="000901A4"/>
    <w:rsid w:val="00090590"/>
    <w:rsid w:val="00091E9A"/>
    <w:rsid w:val="000924F3"/>
    <w:rsid w:val="00092857"/>
    <w:rsid w:val="000938E3"/>
    <w:rsid w:val="00093AA3"/>
    <w:rsid w:val="0009559D"/>
    <w:rsid w:val="000975AF"/>
    <w:rsid w:val="00097CDC"/>
    <w:rsid w:val="000A0205"/>
    <w:rsid w:val="000A20A9"/>
    <w:rsid w:val="000A291A"/>
    <w:rsid w:val="000A2973"/>
    <w:rsid w:val="000A2FA2"/>
    <w:rsid w:val="000A3060"/>
    <w:rsid w:val="000A3B0B"/>
    <w:rsid w:val="000A3EFF"/>
    <w:rsid w:val="000A4247"/>
    <w:rsid w:val="000A48B1"/>
    <w:rsid w:val="000B0332"/>
    <w:rsid w:val="000B244D"/>
    <w:rsid w:val="000B29A7"/>
    <w:rsid w:val="000B3143"/>
    <w:rsid w:val="000B42E6"/>
    <w:rsid w:val="000B589E"/>
    <w:rsid w:val="000B5F00"/>
    <w:rsid w:val="000B68C8"/>
    <w:rsid w:val="000B736D"/>
    <w:rsid w:val="000C0F85"/>
    <w:rsid w:val="000C1361"/>
    <w:rsid w:val="000C1A95"/>
    <w:rsid w:val="000C223D"/>
    <w:rsid w:val="000C24B6"/>
    <w:rsid w:val="000C2DEC"/>
    <w:rsid w:val="000C2EFE"/>
    <w:rsid w:val="000C4EDC"/>
    <w:rsid w:val="000C5514"/>
    <w:rsid w:val="000C579A"/>
    <w:rsid w:val="000C6B05"/>
    <w:rsid w:val="000C6DD6"/>
    <w:rsid w:val="000C73D4"/>
    <w:rsid w:val="000C7D95"/>
    <w:rsid w:val="000D0524"/>
    <w:rsid w:val="000D0762"/>
    <w:rsid w:val="000D1537"/>
    <w:rsid w:val="000D1F28"/>
    <w:rsid w:val="000D2A77"/>
    <w:rsid w:val="000D2CF3"/>
    <w:rsid w:val="000D3D4C"/>
    <w:rsid w:val="000D48B4"/>
    <w:rsid w:val="000D4F51"/>
    <w:rsid w:val="000D5A0F"/>
    <w:rsid w:val="000D6E3E"/>
    <w:rsid w:val="000D718B"/>
    <w:rsid w:val="000D743B"/>
    <w:rsid w:val="000D7AD4"/>
    <w:rsid w:val="000E0C46"/>
    <w:rsid w:val="000E1822"/>
    <w:rsid w:val="000E19DF"/>
    <w:rsid w:val="000E1FCE"/>
    <w:rsid w:val="000E2D9C"/>
    <w:rsid w:val="000E34F3"/>
    <w:rsid w:val="000E4B32"/>
    <w:rsid w:val="000E5D97"/>
    <w:rsid w:val="000E7A76"/>
    <w:rsid w:val="000F030C"/>
    <w:rsid w:val="000F129C"/>
    <w:rsid w:val="000F22A0"/>
    <w:rsid w:val="000F2A8A"/>
    <w:rsid w:val="000F2C49"/>
    <w:rsid w:val="000F3349"/>
    <w:rsid w:val="000F3CFA"/>
    <w:rsid w:val="000F3E5D"/>
    <w:rsid w:val="000F6B1E"/>
    <w:rsid w:val="000F7CC7"/>
    <w:rsid w:val="00101675"/>
    <w:rsid w:val="00102CDF"/>
    <w:rsid w:val="00103E18"/>
    <w:rsid w:val="00104DFA"/>
    <w:rsid w:val="001052C7"/>
    <w:rsid w:val="001056DE"/>
    <w:rsid w:val="00105CC7"/>
    <w:rsid w:val="00105D40"/>
    <w:rsid w:val="0011106F"/>
    <w:rsid w:val="00111703"/>
    <w:rsid w:val="001121D1"/>
    <w:rsid w:val="001124C0"/>
    <w:rsid w:val="001133E8"/>
    <w:rsid w:val="00113DA9"/>
    <w:rsid w:val="0011596E"/>
    <w:rsid w:val="00115C0D"/>
    <w:rsid w:val="00115D27"/>
    <w:rsid w:val="001160DB"/>
    <w:rsid w:val="00117216"/>
    <w:rsid w:val="0011760A"/>
    <w:rsid w:val="0012082C"/>
    <w:rsid w:val="00123FA6"/>
    <w:rsid w:val="00125339"/>
    <w:rsid w:val="00126687"/>
    <w:rsid w:val="0012725A"/>
    <w:rsid w:val="00131101"/>
    <w:rsid w:val="0013175F"/>
    <w:rsid w:val="00131F08"/>
    <w:rsid w:val="0013259C"/>
    <w:rsid w:val="001327F7"/>
    <w:rsid w:val="00132CCC"/>
    <w:rsid w:val="00132D9B"/>
    <w:rsid w:val="0013389C"/>
    <w:rsid w:val="00134DA1"/>
    <w:rsid w:val="00135B51"/>
    <w:rsid w:val="00136FF9"/>
    <w:rsid w:val="0013771B"/>
    <w:rsid w:val="00137ED2"/>
    <w:rsid w:val="00140E38"/>
    <w:rsid w:val="00141495"/>
    <w:rsid w:val="001419F0"/>
    <w:rsid w:val="00141C75"/>
    <w:rsid w:val="001434AB"/>
    <w:rsid w:val="001438A3"/>
    <w:rsid w:val="00143966"/>
    <w:rsid w:val="00144DBD"/>
    <w:rsid w:val="0014504A"/>
    <w:rsid w:val="001451B5"/>
    <w:rsid w:val="00147AD1"/>
    <w:rsid w:val="00150A95"/>
    <w:rsid w:val="00151067"/>
    <w:rsid w:val="001512B4"/>
    <w:rsid w:val="00151E8B"/>
    <w:rsid w:val="0015241D"/>
    <w:rsid w:val="00152866"/>
    <w:rsid w:val="00152A6E"/>
    <w:rsid w:val="0015334A"/>
    <w:rsid w:val="00153F55"/>
    <w:rsid w:val="00154B0C"/>
    <w:rsid w:val="00156B1C"/>
    <w:rsid w:val="00161189"/>
    <w:rsid w:val="00161291"/>
    <w:rsid w:val="00161E68"/>
    <w:rsid w:val="001620A5"/>
    <w:rsid w:val="00162476"/>
    <w:rsid w:val="001628A1"/>
    <w:rsid w:val="00164E53"/>
    <w:rsid w:val="00164E9B"/>
    <w:rsid w:val="001653B6"/>
    <w:rsid w:val="00165A00"/>
    <w:rsid w:val="001666C3"/>
    <w:rsid w:val="0016699D"/>
    <w:rsid w:val="00170EC5"/>
    <w:rsid w:val="00171002"/>
    <w:rsid w:val="001743C2"/>
    <w:rsid w:val="00174504"/>
    <w:rsid w:val="00174768"/>
    <w:rsid w:val="00175159"/>
    <w:rsid w:val="001751AA"/>
    <w:rsid w:val="00176208"/>
    <w:rsid w:val="00176418"/>
    <w:rsid w:val="001771FF"/>
    <w:rsid w:val="00177475"/>
    <w:rsid w:val="00180580"/>
    <w:rsid w:val="00180A5D"/>
    <w:rsid w:val="0018100A"/>
    <w:rsid w:val="0018211B"/>
    <w:rsid w:val="0018227F"/>
    <w:rsid w:val="0018347B"/>
    <w:rsid w:val="00183669"/>
    <w:rsid w:val="001840D3"/>
    <w:rsid w:val="00184388"/>
    <w:rsid w:val="00186882"/>
    <w:rsid w:val="00187FAB"/>
    <w:rsid w:val="001900F8"/>
    <w:rsid w:val="00190F35"/>
    <w:rsid w:val="00191258"/>
    <w:rsid w:val="00191C54"/>
    <w:rsid w:val="00191C88"/>
    <w:rsid w:val="00191ED4"/>
    <w:rsid w:val="00192680"/>
    <w:rsid w:val="00192A92"/>
    <w:rsid w:val="00193037"/>
    <w:rsid w:val="00193A2C"/>
    <w:rsid w:val="00195884"/>
    <w:rsid w:val="00195B28"/>
    <w:rsid w:val="00195FDE"/>
    <w:rsid w:val="00197B2C"/>
    <w:rsid w:val="001A025A"/>
    <w:rsid w:val="001A25C1"/>
    <w:rsid w:val="001A288E"/>
    <w:rsid w:val="001A468F"/>
    <w:rsid w:val="001A4E0C"/>
    <w:rsid w:val="001A5BA0"/>
    <w:rsid w:val="001A7A17"/>
    <w:rsid w:val="001B1461"/>
    <w:rsid w:val="001B19A7"/>
    <w:rsid w:val="001B31FA"/>
    <w:rsid w:val="001B3CA4"/>
    <w:rsid w:val="001B4A0C"/>
    <w:rsid w:val="001B5D5B"/>
    <w:rsid w:val="001B623F"/>
    <w:rsid w:val="001B6DC2"/>
    <w:rsid w:val="001C1083"/>
    <w:rsid w:val="001C149C"/>
    <w:rsid w:val="001C1F4E"/>
    <w:rsid w:val="001C21AC"/>
    <w:rsid w:val="001C3166"/>
    <w:rsid w:val="001C3AB2"/>
    <w:rsid w:val="001C47BA"/>
    <w:rsid w:val="001C4A32"/>
    <w:rsid w:val="001C59EA"/>
    <w:rsid w:val="001C6058"/>
    <w:rsid w:val="001D00F0"/>
    <w:rsid w:val="001D22AE"/>
    <w:rsid w:val="001D2C4F"/>
    <w:rsid w:val="001D3B27"/>
    <w:rsid w:val="001D3D1A"/>
    <w:rsid w:val="001D405E"/>
    <w:rsid w:val="001D406C"/>
    <w:rsid w:val="001D41EE"/>
    <w:rsid w:val="001D4450"/>
    <w:rsid w:val="001D5B18"/>
    <w:rsid w:val="001D6392"/>
    <w:rsid w:val="001D696C"/>
    <w:rsid w:val="001D6EE2"/>
    <w:rsid w:val="001E0380"/>
    <w:rsid w:val="001E12C0"/>
    <w:rsid w:val="001E13B1"/>
    <w:rsid w:val="001E266D"/>
    <w:rsid w:val="001E3D1D"/>
    <w:rsid w:val="001E708B"/>
    <w:rsid w:val="001F0F7E"/>
    <w:rsid w:val="001F2D0D"/>
    <w:rsid w:val="001F30BE"/>
    <w:rsid w:val="001F3641"/>
    <w:rsid w:val="001F3A19"/>
    <w:rsid w:val="001F4345"/>
    <w:rsid w:val="001F53B0"/>
    <w:rsid w:val="001F7580"/>
    <w:rsid w:val="00201F35"/>
    <w:rsid w:val="00204CC8"/>
    <w:rsid w:val="0020562E"/>
    <w:rsid w:val="0021098B"/>
    <w:rsid w:val="00210BC3"/>
    <w:rsid w:val="0021373A"/>
    <w:rsid w:val="00214106"/>
    <w:rsid w:val="0021449E"/>
    <w:rsid w:val="002169D3"/>
    <w:rsid w:val="0021768D"/>
    <w:rsid w:val="00220E2B"/>
    <w:rsid w:val="00221FCA"/>
    <w:rsid w:val="00222C4C"/>
    <w:rsid w:val="002232A4"/>
    <w:rsid w:val="00225635"/>
    <w:rsid w:val="00227DC6"/>
    <w:rsid w:val="00230683"/>
    <w:rsid w:val="0023187E"/>
    <w:rsid w:val="0023391C"/>
    <w:rsid w:val="0023414E"/>
    <w:rsid w:val="00234467"/>
    <w:rsid w:val="00235007"/>
    <w:rsid w:val="00235806"/>
    <w:rsid w:val="00236345"/>
    <w:rsid w:val="00237D8D"/>
    <w:rsid w:val="00240122"/>
    <w:rsid w:val="00240A07"/>
    <w:rsid w:val="00241672"/>
    <w:rsid w:val="00241DA2"/>
    <w:rsid w:val="00241E2C"/>
    <w:rsid w:val="0024307C"/>
    <w:rsid w:val="00243717"/>
    <w:rsid w:val="00243B13"/>
    <w:rsid w:val="0024435F"/>
    <w:rsid w:val="00244BC6"/>
    <w:rsid w:val="00244E53"/>
    <w:rsid w:val="00245987"/>
    <w:rsid w:val="00245D45"/>
    <w:rsid w:val="00246BD0"/>
    <w:rsid w:val="00247A16"/>
    <w:rsid w:val="00247FEE"/>
    <w:rsid w:val="00250E7D"/>
    <w:rsid w:val="002520CA"/>
    <w:rsid w:val="00253190"/>
    <w:rsid w:val="0025438A"/>
    <w:rsid w:val="0025502F"/>
    <w:rsid w:val="002565D5"/>
    <w:rsid w:val="00256E23"/>
    <w:rsid w:val="00256FA5"/>
    <w:rsid w:val="002622C0"/>
    <w:rsid w:val="00264C54"/>
    <w:rsid w:val="00264E8E"/>
    <w:rsid w:val="00265BFC"/>
    <w:rsid w:val="00266D1F"/>
    <w:rsid w:val="00270617"/>
    <w:rsid w:val="00270755"/>
    <w:rsid w:val="00271267"/>
    <w:rsid w:val="00272832"/>
    <w:rsid w:val="002735FB"/>
    <w:rsid w:val="00274B8F"/>
    <w:rsid w:val="00274DBC"/>
    <w:rsid w:val="002778AE"/>
    <w:rsid w:val="00281C19"/>
    <w:rsid w:val="00281D76"/>
    <w:rsid w:val="0028269A"/>
    <w:rsid w:val="00282A24"/>
    <w:rsid w:val="00282EE8"/>
    <w:rsid w:val="00283590"/>
    <w:rsid w:val="0028484A"/>
    <w:rsid w:val="002860AD"/>
    <w:rsid w:val="0028688D"/>
    <w:rsid w:val="002868D8"/>
    <w:rsid w:val="00286973"/>
    <w:rsid w:val="00287512"/>
    <w:rsid w:val="00287C51"/>
    <w:rsid w:val="00292478"/>
    <w:rsid w:val="00293C24"/>
    <w:rsid w:val="002945BE"/>
    <w:rsid w:val="00294A48"/>
    <w:rsid w:val="00294B79"/>
    <w:rsid w:val="00294E70"/>
    <w:rsid w:val="002962D6"/>
    <w:rsid w:val="00296BFD"/>
    <w:rsid w:val="002977DD"/>
    <w:rsid w:val="002A1588"/>
    <w:rsid w:val="002A1924"/>
    <w:rsid w:val="002A1F66"/>
    <w:rsid w:val="002A2A91"/>
    <w:rsid w:val="002A3149"/>
    <w:rsid w:val="002A5034"/>
    <w:rsid w:val="002A508F"/>
    <w:rsid w:val="002A50E6"/>
    <w:rsid w:val="002A53F1"/>
    <w:rsid w:val="002A5993"/>
    <w:rsid w:val="002A6201"/>
    <w:rsid w:val="002A6E8E"/>
    <w:rsid w:val="002A7420"/>
    <w:rsid w:val="002B0F12"/>
    <w:rsid w:val="002B1308"/>
    <w:rsid w:val="002B19EE"/>
    <w:rsid w:val="002B34E8"/>
    <w:rsid w:val="002B3F72"/>
    <w:rsid w:val="002B445F"/>
    <w:rsid w:val="002B4554"/>
    <w:rsid w:val="002B58E9"/>
    <w:rsid w:val="002B5955"/>
    <w:rsid w:val="002B7D2C"/>
    <w:rsid w:val="002C1EC6"/>
    <w:rsid w:val="002C2E0C"/>
    <w:rsid w:val="002C4195"/>
    <w:rsid w:val="002C439A"/>
    <w:rsid w:val="002C43CC"/>
    <w:rsid w:val="002C473F"/>
    <w:rsid w:val="002C4D0C"/>
    <w:rsid w:val="002C71AD"/>
    <w:rsid w:val="002C72D8"/>
    <w:rsid w:val="002D0B1E"/>
    <w:rsid w:val="002D11FA"/>
    <w:rsid w:val="002D29F6"/>
    <w:rsid w:val="002D2CA1"/>
    <w:rsid w:val="002D3518"/>
    <w:rsid w:val="002D3749"/>
    <w:rsid w:val="002D3C88"/>
    <w:rsid w:val="002D44C1"/>
    <w:rsid w:val="002D59CB"/>
    <w:rsid w:val="002D658E"/>
    <w:rsid w:val="002D745F"/>
    <w:rsid w:val="002D79CD"/>
    <w:rsid w:val="002D7FA8"/>
    <w:rsid w:val="002E0DDF"/>
    <w:rsid w:val="002E2906"/>
    <w:rsid w:val="002E363B"/>
    <w:rsid w:val="002E3C1D"/>
    <w:rsid w:val="002E433E"/>
    <w:rsid w:val="002E5495"/>
    <w:rsid w:val="002E5635"/>
    <w:rsid w:val="002E5C81"/>
    <w:rsid w:val="002E5D24"/>
    <w:rsid w:val="002E64C3"/>
    <w:rsid w:val="002E65A3"/>
    <w:rsid w:val="002E6A2C"/>
    <w:rsid w:val="002E6F63"/>
    <w:rsid w:val="002E7951"/>
    <w:rsid w:val="002F1D8C"/>
    <w:rsid w:val="002F1EEF"/>
    <w:rsid w:val="002F2108"/>
    <w:rsid w:val="002F21DA"/>
    <w:rsid w:val="002F2EFC"/>
    <w:rsid w:val="002F3F68"/>
    <w:rsid w:val="002F4DE9"/>
    <w:rsid w:val="0030029D"/>
    <w:rsid w:val="003002AC"/>
    <w:rsid w:val="0030032C"/>
    <w:rsid w:val="0030176F"/>
    <w:rsid w:val="00301951"/>
    <w:rsid w:val="00301F39"/>
    <w:rsid w:val="00302B0A"/>
    <w:rsid w:val="00303199"/>
    <w:rsid w:val="00303446"/>
    <w:rsid w:val="00303E97"/>
    <w:rsid w:val="00304256"/>
    <w:rsid w:val="003047CC"/>
    <w:rsid w:val="003047DE"/>
    <w:rsid w:val="00305673"/>
    <w:rsid w:val="003057C2"/>
    <w:rsid w:val="00305ACD"/>
    <w:rsid w:val="00306A50"/>
    <w:rsid w:val="00307611"/>
    <w:rsid w:val="00307877"/>
    <w:rsid w:val="0031084F"/>
    <w:rsid w:val="00310A36"/>
    <w:rsid w:val="00311BD5"/>
    <w:rsid w:val="00312FE1"/>
    <w:rsid w:val="00313486"/>
    <w:rsid w:val="0031524D"/>
    <w:rsid w:val="00317876"/>
    <w:rsid w:val="00317AFF"/>
    <w:rsid w:val="00317C56"/>
    <w:rsid w:val="00321931"/>
    <w:rsid w:val="0032237F"/>
    <w:rsid w:val="00324127"/>
    <w:rsid w:val="00324EAB"/>
    <w:rsid w:val="00325926"/>
    <w:rsid w:val="003259AE"/>
    <w:rsid w:val="00325D23"/>
    <w:rsid w:val="00325F2B"/>
    <w:rsid w:val="00327A8A"/>
    <w:rsid w:val="0033085C"/>
    <w:rsid w:val="00331F27"/>
    <w:rsid w:val="00331F8A"/>
    <w:rsid w:val="0033268D"/>
    <w:rsid w:val="00333B36"/>
    <w:rsid w:val="00336610"/>
    <w:rsid w:val="00336A4B"/>
    <w:rsid w:val="00336D4A"/>
    <w:rsid w:val="00337D12"/>
    <w:rsid w:val="00340CF1"/>
    <w:rsid w:val="003415F4"/>
    <w:rsid w:val="00343940"/>
    <w:rsid w:val="00343DFE"/>
    <w:rsid w:val="00343F73"/>
    <w:rsid w:val="00344E35"/>
    <w:rsid w:val="00344E75"/>
    <w:rsid w:val="00345060"/>
    <w:rsid w:val="00345D24"/>
    <w:rsid w:val="00347517"/>
    <w:rsid w:val="00347584"/>
    <w:rsid w:val="00350421"/>
    <w:rsid w:val="003507EB"/>
    <w:rsid w:val="0035110D"/>
    <w:rsid w:val="0035323B"/>
    <w:rsid w:val="0035486C"/>
    <w:rsid w:val="003555CF"/>
    <w:rsid w:val="003568CA"/>
    <w:rsid w:val="00357370"/>
    <w:rsid w:val="00357868"/>
    <w:rsid w:val="00357D2C"/>
    <w:rsid w:val="00357E90"/>
    <w:rsid w:val="003601C2"/>
    <w:rsid w:val="0036086D"/>
    <w:rsid w:val="003609D2"/>
    <w:rsid w:val="00363F22"/>
    <w:rsid w:val="0036449E"/>
    <w:rsid w:val="00364655"/>
    <w:rsid w:val="00365B2C"/>
    <w:rsid w:val="00365FFB"/>
    <w:rsid w:val="00367B3D"/>
    <w:rsid w:val="003717DA"/>
    <w:rsid w:val="00372D3D"/>
    <w:rsid w:val="00373CCC"/>
    <w:rsid w:val="003740A1"/>
    <w:rsid w:val="00374F7E"/>
    <w:rsid w:val="00375564"/>
    <w:rsid w:val="0037647C"/>
    <w:rsid w:val="00377E1C"/>
    <w:rsid w:val="0038015B"/>
    <w:rsid w:val="00380564"/>
    <w:rsid w:val="003827DC"/>
    <w:rsid w:val="00382D9E"/>
    <w:rsid w:val="00383191"/>
    <w:rsid w:val="003839D8"/>
    <w:rsid w:val="00383C03"/>
    <w:rsid w:val="00384AF3"/>
    <w:rsid w:val="00385813"/>
    <w:rsid w:val="00385C12"/>
    <w:rsid w:val="00385C5B"/>
    <w:rsid w:val="00385CA3"/>
    <w:rsid w:val="00386DED"/>
    <w:rsid w:val="00390089"/>
    <w:rsid w:val="003912E7"/>
    <w:rsid w:val="00392137"/>
    <w:rsid w:val="00392D17"/>
    <w:rsid w:val="00393947"/>
    <w:rsid w:val="00393CE6"/>
    <w:rsid w:val="003954FA"/>
    <w:rsid w:val="00395A3E"/>
    <w:rsid w:val="00396502"/>
    <w:rsid w:val="00397610"/>
    <w:rsid w:val="00397DDA"/>
    <w:rsid w:val="003A0FF2"/>
    <w:rsid w:val="003A2275"/>
    <w:rsid w:val="003A3271"/>
    <w:rsid w:val="003A6A4F"/>
    <w:rsid w:val="003A7088"/>
    <w:rsid w:val="003B00DF"/>
    <w:rsid w:val="003B053C"/>
    <w:rsid w:val="003B0823"/>
    <w:rsid w:val="003B1275"/>
    <w:rsid w:val="003B1778"/>
    <w:rsid w:val="003B1E50"/>
    <w:rsid w:val="003B1E8E"/>
    <w:rsid w:val="003B29EA"/>
    <w:rsid w:val="003B3845"/>
    <w:rsid w:val="003B6DF1"/>
    <w:rsid w:val="003B71C3"/>
    <w:rsid w:val="003B7786"/>
    <w:rsid w:val="003C05C3"/>
    <w:rsid w:val="003C11CB"/>
    <w:rsid w:val="003C210E"/>
    <w:rsid w:val="003C39B1"/>
    <w:rsid w:val="003C3DFA"/>
    <w:rsid w:val="003C602E"/>
    <w:rsid w:val="003C61C0"/>
    <w:rsid w:val="003C636F"/>
    <w:rsid w:val="003C6AA4"/>
    <w:rsid w:val="003C75F3"/>
    <w:rsid w:val="003C7624"/>
    <w:rsid w:val="003C78A3"/>
    <w:rsid w:val="003D20E4"/>
    <w:rsid w:val="003D37B7"/>
    <w:rsid w:val="003D496B"/>
    <w:rsid w:val="003D7852"/>
    <w:rsid w:val="003D7A0C"/>
    <w:rsid w:val="003E0212"/>
    <w:rsid w:val="003E1867"/>
    <w:rsid w:val="003E5185"/>
    <w:rsid w:val="003E5729"/>
    <w:rsid w:val="003E5C59"/>
    <w:rsid w:val="003E6574"/>
    <w:rsid w:val="003F1919"/>
    <w:rsid w:val="003F1F7B"/>
    <w:rsid w:val="003F261E"/>
    <w:rsid w:val="003F3704"/>
    <w:rsid w:val="003F3DA8"/>
    <w:rsid w:val="003F43CF"/>
    <w:rsid w:val="003F4BFC"/>
    <w:rsid w:val="003F4EE0"/>
    <w:rsid w:val="003F557A"/>
    <w:rsid w:val="003F69B4"/>
    <w:rsid w:val="00402153"/>
    <w:rsid w:val="00402DF6"/>
    <w:rsid w:val="00402E30"/>
    <w:rsid w:val="00402FC1"/>
    <w:rsid w:val="004042BC"/>
    <w:rsid w:val="004042D5"/>
    <w:rsid w:val="00405E2D"/>
    <w:rsid w:val="00405EE4"/>
    <w:rsid w:val="00405FDF"/>
    <w:rsid w:val="00405FFB"/>
    <w:rsid w:val="00406662"/>
    <w:rsid w:val="004067A8"/>
    <w:rsid w:val="004071DF"/>
    <w:rsid w:val="004072F5"/>
    <w:rsid w:val="00410D92"/>
    <w:rsid w:val="004116D8"/>
    <w:rsid w:val="00411AE4"/>
    <w:rsid w:val="00411E10"/>
    <w:rsid w:val="00412073"/>
    <w:rsid w:val="00416B14"/>
    <w:rsid w:val="004205F8"/>
    <w:rsid w:val="004216B8"/>
    <w:rsid w:val="0042340A"/>
    <w:rsid w:val="00425082"/>
    <w:rsid w:val="004253A8"/>
    <w:rsid w:val="00431DEB"/>
    <w:rsid w:val="00432925"/>
    <w:rsid w:val="00432D56"/>
    <w:rsid w:val="00435912"/>
    <w:rsid w:val="00436585"/>
    <w:rsid w:val="00436F8A"/>
    <w:rsid w:val="004413D7"/>
    <w:rsid w:val="0044267A"/>
    <w:rsid w:val="0044290E"/>
    <w:rsid w:val="004436C2"/>
    <w:rsid w:val="00444109"/>
    <w:rsid w:val="00444384"/>
    <w:rsid w:val="0044476C"/>
    <w:rsid w:val="00444CED"/>
    <w:rsid w:val="0044509B"/>
    <w:rsid w:val="00445765"/>
    <w:rsid w:val="00446B29"/>
    <w:rsid w:val="00447DE9"/>
    <w:rsid w:val="0045037B"/>
    <w:rsid w:val="004506E5"/>
    <w:rsid w:val="00453F9A"/>
    <w:rsid w:val="00454EAA"/>
    <w:rsid w:val="00455475"/>
    <w:rsid w:val="00455A3E"/>
    <w:rsid w:val="004566E8"/>
    <w:rsid w:val="00457CEF"/>
    <w:rsid w:val="00461141"/>
    <w:rsid w:val="00461306"/>
    <w:rsid w:val="004631AE"/>
    <w:rsid w:val="00463E30"/>
    <w:rsid w:val="004646FA"/>
    <w:rsid w:val="004657E4"/>
    <w:rsid w:val="0046592E"/>
    <w:rsid w:val="00465C13"/>
    <w:rsid w:val="0046629B"/>
    <w:rsid w:val="00466A2D"/>
    <w:rsid w:val="004701FC"/>
    <w:rsid w:val="00470B2D"/>
    <w:rsid w:val="0047133C"/>
    <w:rsid w:val="00471E91"/>
    <w:rsid w:val="004721F9"/>
    <w:rsid w:val="004733AC"/>
    <w:rsid w:val="004743B7"/>
    <w:rsid w:val="00474675"/>
    <w:rsid w:val="0047470C"/>
    <w:rsid w:val="00474E2F"/>
    <w:rsid w:val="0047509A"/>
    <w:rsid w:val="00475708"/>
    <w:rsid w:val="0047657E"/>
    <w:rsid w:val="00477B52"/>
    <w:rsid w:val="0048034D"/>
    <w:rsid w:val="00481454"/>
    <w:rsid w:val="00481ED1"/>
    <w:rsid w:val="004820ED"/>
    <w:rsid w:val="00482218"/>
    <w:rsid w:val="00482537"/>
    <w:rsid w:val="00482767"/>
    <w:rsid w:val="00482DC1"/>
    <w:rsid w:val="004842F0"/>
    <w:rsid w:val="0048447C"/>
    <w:rsid w:val="00485C66"/>
    <w:rsid w:val="004871FB"/>
    <w:rsid w:val="00487DFD"/>
    <w:rsid w:val="00491BCD"/>
    <w:rsid w:val="00495108"/>
    <w:rsid w:val="00495B24"/>
    <w:rsid w:val="00495C54"/>
    <w:rsid w:val="00495E27"/>
    <w:rsid w:val="0049601D"/>
    <w:rsid w:val="0049787F"/>
    <w:rsid w:val="00497BB0"/>
    <w:rsid w:val="004A126E"/>
    <w:rsid w:val="004A25F8"/>
    <w:rsid w:val="004A35F9"/>
    <w:rsid w:val="004A5E86"/>
    <w:rsid w:val="004A77F1"/>
    <w:rsid w:val="004A7C99"/>
    <w:rsid w:val="004A7F1E"/>
    <w:rsid w:val="004B14B1"/>
    <w:rsid w:val="004B1BEB"/>
    <w:rsid w:val="004B22BB"/>
    <w:rsid w:val="004B24C1"/>
    <w:rsid w:val="004B2B71"/>
    <w:rsid w:val="004B3D88"/>
    <w:rsid w:val="004B6898"/>
    <w:rsid w:val="004B6903"/>
    <w:rsid w:val="004C0464"/>
    <w:rsid w:val="004C08B7"/>
    <w:rsid w:val="004C12B6"/>
    <w:rsid w:val="004C15E9"/>
    <w:rsid w:val="004C16BD"/>
    <w:rsid w:val="004C26A1"/>
    <w:rsid w:val="004C26AE"/>
    <w:rsid w:val="004C292F"/>
    <w:rsid w:val="004C46EE"/>
    <w:rsid w:val="004C4A83"/>
    <w:rsid w:val="004C7ABE"/>
    <w:rsid w:val="004C7C47"/>
    <w:rsid w:val="004D0080"/>
    <w:rsid w:val="004D1FE8"/>
    <w:rsid w:val="004D33B9"/>
    <w:rsid w:val="004D4331"/>
    <w:rsid w:val="004D5744"/>
    <w:rsid w:val="004D6350"/>
    <w:rsid w:val="004D6726"/>
    <w:rsid w:val="004D778D"/>
    <w:rsid w:val="004D7F4F"/>
    <w:rsid w:val="004E0A0E"/>
    <w:rsid w:val="004E1258"/>
    <w:rsid w:val="004E17A8"/>
    <w:rsid w:val="004E1D0F"/>
    <w:rsid w:val="004E4DFC"/>
    <w:rsid w:val="004E58B3"/>
    <w:rsid w:val="004E604E"/>
    <w:rsid w:val="004E64B1"/>
    <w:rsid w:val="004E6B60"/>
    <w:rsid w:val="004E6CE8"/>
    <w:rsid w:val="004E72B3"/>
    <w:rsid w:val="004E7470"/>
    <w:rsid w:val="004F01B0"/>
    <w:rsid w:val="004F0436"/>
    <w:rsid w:val="004F0A07"/>
    <w:rsid w:val="004F1051"/>
    <w:rsid w:val="004F12DD"/>
    <w:rsid w:val="004F1A13"/>
    <w:rsid w:val="004F413F"/>
    <w:rsid w:val="004F4B55"/>
    <w:rsid w:val="004F543A"/>
    <w:rsid w:val="004F59B8"/>
    <w:rsid w:val="004F6442"/>
    <w:rsid w:val="004F7155"/>
    <w:rsid w:val="005001C2"/>
    <w:rsid w:val="00500CF4"/>
    <w:rsid w:val="005018D9"/>
    <w:rsid w:val="005059B9"/>
    <w:rsid w:val="00505CAF"/>
    <w:rsid w:val="00507CC5"/>
    <w:rsid w:val="00507F74"/>
    <w:rsid w:val="00510280"/>
    <w:rsid w:val="00511D8B"/>
    <w:rsid w:val="005138CB"/>
    <w:rsid w:val="00513B56"/>
    <w:rsid w:val="00513D6C"/>
    <w:rsid w:val="00513D73"/>
    <w:rsid w:val="00514A43"/>
    <w:rsid w:val="005174E5"/>
    <w:rsid w:val="00517D86"/>
    <w:rsid w:val="00517E9A"/>
    <w:rsid w:val="00520500"/>
    <w:rsid w:val="00522393"/>
    <w:rsid w:val="00522620"/>
    <w:rsid w:val="00523BEE"/>
    <w:rsid w:val="00525656"/>
    <w:rsid w:val="0052724F"/>
    <w:rsid w:val="00527626"/>
    <w:rsid w:val="00530A6F"/>
    <w:rsid w:val="00530F4A"/>
    <w:rsid w:val="005334FD"/>
    <w:rsid w:val="0053366A"/>
    <w:rsid w:val="00533E64"/>
    <w:rsid w:val="00534C02"/>
    <w:rsid w:val="00536E70"/>
    <w:rsid w:val="00540D7D"/>
    <w:rsid w:val="0054243F"/>
    <w:rsid w:val="0054264B"/>
    <w:rsid w:val="00543110"/>
    <w:rsid w:val="00543786"/>
    <w:rsid w:val="005447D3"/>
    <w:rsid w:val="0054486A"/>
    <w:rsid w:val="005453EF"/>
    <w:rsid w:val="00545BC2"/>
    <w:rsid w:val="00545CEE"/>
    <w:rsid w:val="00545D27"/>
    <w:rsid w:val="00546090"/>
    <w:rsid w:val="00546451"/>
    <w:rsid w:val="005469BA"/>
    <w:rsid w:val="005478D9"/>
    <w:rsid w:val="00547934"/>
    <w:rsid w:val="00551CED"/>
    <w:rsid w:val="00551FDA"/>
    <w:rsid w:val="0055326D"/>
    <w:rsid w:val="005533D7"/>
    <w:rsid w:val="005540D0"/>
    <w:rsid w:val="00554517"/>
    <w:rsid w:val="005549FB"/>
    <w:rsid w:val="00555C9C"/>
    <w:rsid w:val="0056085E"/>
    <w:rsid w:val="005637D7"/>
    <w:rsid w:val="005644E4"/>
    <w:rsid w:val="005645CB"/>
    <w:rsid w:val="00566D55"/>
    <w:rsid w:val="00567C91"/>
    <w:rsid w:val="005703DE"/>
    <w:rsid w:val="00570E75"/>
    <w:rsid w:val="005710B0"/>
    <w:rsid w:val="00571D11"/>
    <w:rsid w:val="005734C9"/>
    <w:rsid w:val="00573CEF"/>
    <w:rsid w:val="00576CC8"/>
    <w:rsid w:val="00576E96"/>
    <w:rsid w:val="00581A72"/>
    <w:rsid w:val="00581BF9"/>
    <w:rsid w:val="00582DF2"/>
    <w:rsid w:val="00583BE3"/>
    <w:rsid w:val="00583DF6"/>
    <w:rsid w:val="00584429"/>
    <w:rsid w:val="005845AF"/>
    <w:rsid w:val="0058464E"/>
    <w:rsid w:val="00584828"/>
    <w:rsid w:val="00585DE6"/>
    <w:rsid w:val="0058684F"/>
    <w:rsid w:val="00586B11"/>
    <w:rsid w:val="0058727C"/>
    <w:rsid w:val="00587E4F"/>
    <w:rsid w:val="00590262"/>
    <w:rsid w:val="005903A0"/>
    <w:rsid w:val="005926B0"/>
    <w:rsid w:val="0059282C"/>
    <w:rsid w:val="0059377D"/>
    <w:rsid w:val="00593B48"/>
    <w:rsid w:val="005946CA"/>
    <w:rsid w:val="005946E4"/>
    <w:rsid w:val="00594CEF"/>
    <w:rsid w:val="00596A84"/>
    <w:rsid w:val="00596EE6"/>
    <w:rsid w:val="0059761C"/>
    <w:rsid w:val="005A01CB"/>
    <w:rsid w:val="005A4503"/>
    <w:rsid w:val="005A47A0"/>
    <w:rsid w:val="005A4F53"/>
    <w:rsid w:val="005A5247"/>
    <w:rsid w:val="005A58FF"/>
    <w:rsid w:val="005A5EAF"/>
    <w:rsid w:val="005A64C0"/>
    <w:rsid w:val="005A656F"/>
    <w:rsid w:val="005A6E65"/>
    <w:rsid w:val="005B0174"/>
    <w:rsid w:val="005B03E4"/>
    <w:rsid w:val="005B0C4E"/>
    <w:rsid w:val="005B124A"/>
    <w:rsid w:val="005B2122"/>
    <w:rsid w:val="005B2863"/>
    <w:rsid w:val="005B3C11"/>
    <w:rsid w:val="005B4018"/>
    <w:rsid w:val="005B611D"/>
    <w:rsid w:val="005B666E"/>
    <w:rsid w:val="005B6DD6"/>
    <w:rsid w:val="005B71B3"/>
    <w:rsid w:val="005C1C28"/>
    <w:rsid w:val="005C26D1"/>
    <w:rsid w:val="005C4153"/>
    <w:rsid w:val="005C4249"/>
    <w:rsid w:val="005C4690"/>
    <w:rsid w:val="005C6876"/>
    <w:rsid w:val="005C6DB5"/>
    <w:rsid w:val="005C7A6B"/>
    <w:rsid w:val="005D0189"/>
    <w:rsid w:val="005D0752"/>
    <w:rsid w:val="005D1E69"/>
    <w:rsid w:val="005D2319"/>
    <w:rsid w:val="005D2844"/>
    <w:rsid w:val="005D28AC"/>
    <w:rsid w:val="005D4FA1"/>
    <w:rsid w:val="005D5288"/>
    <w:rsid w:val="005E0014"/>
    <w:rsid w:val="005E055C"/>
    <w:rsid w:val="005E0A58"/>
    <w:rsid w:val="005E116F"/>
    <w:rsid w:val="005E177C"/>
    <w:rsid w:val="005E19E7"/>
    <w:rsid w:val="005E235E"/>
    <w:rsid w:val="005E4260"/>
    <w:rsid w:val="005E4CED"/>
    <w:rsid w:val="005E6522"/>
    <w:rsid w:val="005E7B5A"/>
    <w:rsid w:val="005F0D35"/>
    <w:rsid w:val="005F16B8"/>
    <w:rsid w:val="005F3C1C"/>
    <w:rsid w:val="005F3FAF"/>
    <w:rsid w:val="005F488D"/>
    <w:rsid w:val="005F7338"/>
    <w:rsid w:val="005F7BDC"/>
    <w:rsid w:val="006008B2"/>
    <w:rsid w:val="00600DE3"/>
    <w:rsid w:val="00600F07"/>
    <w:rsid w:val="00601104"/>
    <w:rsid w:val="00601569"/>
    <w:rsid w:val="00601B15"/>
    <w:rsid w:val="00602F11"/>
    <w:rsid w:val="006040C3"/>
    <w:rsid w:val="00606AD2"/>
    <w:rsid w:val="006118D3"/>
    <w:rsid w:val="00611EA7"/>
    <w:rsid w:val="0061242B"/>
    <w:rsid w:val="0061400A"/>
    <w:rsid w:val="00614126"/>
    <w:rsid w:val="006165F5"/>
    <w:rsid w:val="0061716C"/>
    <w:rsid w:val="006177BF"/>
    <w:rsid w:val="00617813"/>
    <w:rsid w:val="00622336"/>
    <w:rsid w:val="0062295A"/>
    <w:rsid w:val="006236F0"/>
    <w:rsid w:val="006243A1"/>
    <w:rsid w:val="006257D4"/>
    <w:rsid w:val="00625D6E"/>
    <w:rsid w:val="0062604B"/>
    <w:rsid w:val="00627122"/>
    <w:rsid w:val="006274FA"/>
    <w:rsid w:val="0062778E"/>
    <w:rsid w:val="00627D64"/>
    <w:rsid w:val="00632E56"/>
    <w:rsid w:val="00634061"/>
    <w:rsid w:val="00634FFD"/>
    <w:rsid w:val="00635CBA"/>
    <w:rsid w:val="00635FA7"/>
    <w:rsid w:val="00637056"/>
    <w:rsid w:val="00637777"/>
    <w:rsid w:val="00637A2C"/>
    <w:rsid w:val="006403BF"/>
    <w:rsid w:val="00640E56"/>
    <w:rsid w:val="006419D9"/>
    <w:rsid w:val="006430F0"/>
    <w:rsid w:val="006432B6"/>
    <w:rsid w:val="0064338B"/>
    <w:rsid w:val="006445BE"/>
    <w:rsid w:val="006447E3"/>
    <w:rsid w:val="00645152"/>
    <w:rsid w:val="00645F7C"/>
    <w:rsid w:val="00645FE8"/>
    <w:rsid w:val="00646542"/>
    <w:rsid w:val="00646652"/>
    <w:rsid w:val="0064707B"/>
    <w:rsid w:val="006475F2"/>
    <w:rsid w:val="006504F4"/>
    <w:rsid w:val="006506ED"/>
    <w:rsid w:val="006516A0"/>
    <w:rsid w:val="00653210"/>
    <w:rsid w:val="00653AD9"/>
    <w:rsid w:val="00654BC9"/>
    <w:rsid w:val="0065514A"/>
    <w:rsid w:val="006552FD"/>
    <w:rsid w:val="00655C47"/>
    <w:rsid w:val="00660010"/>
    <w:rsid w:val="00661021"/>
    <w:rsid w:val="00661650"/>
    <w:rsid w:val="00662B04"/>
    <w:rsid w:val="00663AF3"/>
    <w:rsid w:val="00666B6C"/>
    <w:rsid w:val="006709D3"/>
    <w:rsid w:val="00670C83"/>
    <w:rsid w:val="00671509"/>
    <w:rsid w:val="00671AED"/>
    <w:rsid w:val="00672942"/>
    <w:rsid w:val="00672BCB"/>
    <w:rsid w:val="006734AA"/>
    <w:rsid w:val="0067390D"/>
    <w:rsid w:val="00674EF0"/>
    <w:rsid w:val="00676FCC"/>
    <w:rsid w:val="006805C0"/>
    <w:rsid w:val="00680E1A"/>
    <w:rsid w:val="00680E22"/>
    <w:rsid w:val="006819E9"/>
    <w:rsid w:val="00682682"/>
    <w:rsid w:val="00682702"/>
    <w:rsid w:val="00682CAE"/>
    <w:rsid w:val="00683990"/>
    <w:rsid w:val="0068457E"/>
    <w:rsid w:val="0068486C"/>
    <w:rsid w:val="0068560B"/>
    <w:rsid w:val="00685A5D"/>
    <w:rsid w:val="006863BF"/>
    <w:rsid w:val="00686AF4"/>
    <w:rsid w:val="00687721"/>
    <w:rsid w:val="00687EAA"/>
    <w:rsid w:val="00687FC2"/>
    <w:rsid w:val="00690C9F"/>
    <w:rsid w:val="00692368"/>
    <w:rsid w:val="00694F7D"/>
    <w:rsid w:val="00696C62"/>
    <w:rsid w:val="00696CD5"/>
    <w:rsid w:val="0069779E"/>
    <w:rsid w:val="00697EEC"/>
    <w:rsid w:val="006A0F69"/>
    <w:rsid w:val="006A2CED"/>
    <w:rsid w:val="006A2EBC"/>
    <w:rsid w:val="006A30F3"/>
    <w:rsid w:val="006A3377"/>
    <w:rsid w:val="006A40D0"/>
    <w:rsid w:val="006A5EA0"/>
    <w:rsid w:val="006A6E5D"/>
    <w:rsid w:val="006A7463"/>
    <w:rsid w:val="006A783B"/>
    <w:rsid w:val="006A7AE7"/>
    <w:rsid w:val="006A7B33"/>
    <w:rsid w:val="006A7DFE"/>
    <w:rsid w:val="006B28D2"/>
    <w:rsid w:val="006B3BD9"/>
    <w:rsid w:val="006B3DDB"/>
    <w:rsid w:val="006B4D59"/>
    <w:rsid w:val="006B4E13"/>
    <w:rsid w:val="006B564E"/>
    <w:rsid w:val="006B647C"/>
    <w:rsid w:val="006B75DD"/>
    <w:rsid w:val="006C0A26"/>
    <w:rsid w:val="006C18F7"/>
    <w:rsid w:val="006C1C0E"/>
    <w:rsid w:val="006C210E"/>
    <w:rsid w:val="006C31DF"/>
    <w:rsid w:val="006C35B2"/>
    <w:rsid w:val="006C4A07"/>
    <w:rsid w:val="006C67E0"/>
    <w:rsid w:val="006C7128"/>
    <w:rsid w:val="006C7ABA"/>
    <w:rsid w:val="006C7E26"/>
    <w:rsid w:val="006C7FC4"/>
    <w:rsid w:val="006D00A6"/>
    <w:rsid w:val="006D0CF5"/>
    <w:rsid w:val="006D0D60"/>
    <w:rsid w:val="006D1122"/>
    <w:rsid w:val="006D2EA2"/>
    <w:rsid w:val="006D32FB"/>
    <w:rsid w:val="006D3C00"/>
    <w:rsid w:val="006D3CF8"/>
    <w:rsid w:val="006D4809"/>
    <w:rsid w:val="006D6CF4"/>
    <w:rsid w:val="006D7252"/>
    <w:rsid w:val="006E0817"/>
    <w:rsid w:val="006E1149"/>
    <w:rsid w:val="006E1635"/>
    <w:rsid w:val="006E2CEF"/>
    <w:rsid w:val="006E2DE0"/>
    <w:rsid w:val="006E2FBC"/>
    <w:rsid w:val="006E35F4"/>
    <w:rsid w:val="006E3675"/>
    <w:rsid w:val="006E4A7F"/>
    <w:rsid w:val="006E70B0"/>
    <w:rsid w:val="006F0FA4"/>
    <w:rsid w:val="006F1438"/>
    <w:rsid w:val="006F267F"/>
    <w:rsid w:val="006F5004"/>
    <w:rsid w:val="006F5EFF"/>
    <w:rsid w:val="006F724A"/>
    <w:rsid w:val="006F7AA3"/>
    <w:rsid w:val="006F7CA8"/>
    <w:rsid w:val="006F7EC5"/>
    <w:rsid w:val="007004F1"/>
    <w:rsid w:val="007008FC"/>
    <w:rsid w:val="00700D70"/>
    <w:rsid w:val="0070146F"/>
    <w:rsid w:val="007032E9"/>
    <w:rsid w:val="00703BA8"/>
    <w:rsid w:val="0070412A"/>
    <w:rsid w:val="00704B94"/>
    <w:rsid w:val="00704DF6"/>
    <w:rsid w:val="0070651C"/>
    <w:rsid w:val="00707F11"/>
    <w:rsid w:val="00711342"/>
    <w:rsid w:val="007123AB"/>
    <w:rsid w:val="00712B5D"/>
    <w:rsid w:val="00712B6B"/>
    <w:rsid w:val="007132A3"/>
    <w:rsid w:val="00713712"/>
    <w:rsid w:val="00713862"/>
    <w:rsid w:val="00714AA9"/>
    <w:rsid w:val="00716421"/>
    <w:rsid w:val="007165D4"/>
    <w:rsid w:val="00717BE8"/>
    <w:rsid w:val="00720EFC"/>
    <w:rsid w:val="007214D4"/>
    <w:rsid w:val="00721B46"/>
    <w:rsid w:val="00722335"/>
    <w:rsid w:val="00724D58"/>
    <w:rsid w:val="00724EFB"/>
    <w:rsid w:val="00726A4D"/>
    <w:rsid w:val="00730EFE"/>
    <w:rsid w:val="00731F38"/>
    <w:rsid w:val="00731F49"/>
    <w:rsid w:val="007338F4"/>
    <w:rsid w:val="007347BC"/>
    <w:rsid w:val="007363DB"/>
    <w:rsid w:val="00736B94"/>
    <w:rsid w:val="00736E04"/>
    <w:rsid w:val="007400A3"/>
    <w:rsid w:val="00740DC4"/>
    <w:rsid w:val="00740F67"/>
    <w:rsid w:val="007419C3"/>
    <w:rsid w:val="00742D47"/>
    <w:rsid w:val="00744F22"/>
    <w:rsid w:val="007467A7"/>
    <w:rsid w:val="007469DD"/>
    <w:rsid w:val="0074741B"/>
    <w:rsid w:val="0074759E"/>
    <w:rsid w:val="007478EA"/>
    <w:rsid w:val="0075039F"/>
    <w:rsid w:val="007539B0"/>
    <w:rsid w:val="0075415C"/>
    <w:rsid w:val="00754A3C"/>
    <w:rsid w:val="007552B3"/>
    <w:rsid w:val="00756EAF"/>
    <w:rsid w:val="00757841"/>
    <w:rsid w:val="00757FE1"/>
    <w:rsid w:val="007611C8"/>
    <w:rsid w:val="00763502"/>
    <w:rsid w:val="0076443C"/>
    <w:rsid w:val="0076526D"/>
    <w:rsid w:val="00766CCF"/>
    <w:rsid w:val="007675B8"/>
    <w:rsid w:val="007700B5"/>
    <w:rsid w:val="0077028E"/>
    <w:rsid w:val="00771170"/>
    <w:rsid w:val="0077256C"/>
    <w:rsid w:val="0077265E"/>
    <w:rsid w:val="007735CF"/>
    <w:rsid w:val="007755B2"/>
    <w:rsid w:val="00775E28"/>
    <w:rsid w:val="0077620D"/>
    <w:rsid w:val="00780255"/>
    <w:rsid w:val="00780BF9"/>
    <w:rsid w:val="00780CA0"/>
    <w:rsid w:val="00781B9A"/>
    <w:rsid w:val="007826D4"/>
    <w:rsid w:val="00782AC0"/>
    <w:rsid w:val="00783748"/>
    <w:rsid w:val="00785125"/>
    <w:rsid w:val="00786A62"/>
    <w:rsid w:val="00787E84"/>
    <w:rsid w:val="007902D3"/>
    <w:rsid w:val="007913AB"/>
    <w:rsid w:val="007914F7"/>
    <w:rsid w:val="00793168"/>
    <w:rsid w:val="007938A5"/>
    <w:rsid w:val="00793EC2"/>
    <w:rsid w:val="007944C1"/>
    <w:rsid w:val="00794AA2"/>
    <w:rsid w:val="00794D39"/>
    <w:rsid w:val="00797076"/>
    <w:rsid w:val="00797083"/>
    <w:rsid w:val="007A123B"/>
    <w:rsid w:val="007A13D0"/>
    <w:rsid w:val="007A34EB"/>
    <w:rsid w:val="007A3548"/>
    <w:rsid w:val="007A37B6"/>
    <w:rsid w:val="007A7155"/>
    <w:rsid w:val="007A77BF"/>
    <w:rsid w:val="007B1594"/>
    <w:rsid w:val="007B1625"/>
    <w:rsid w:val="007B1EC7"/>
    <w:rsid w:val="007B2304"/>
    <w:rsid w:val="007B35E3"/>
    <w:rsid w:val="007B3FBA"/>
    <w:rsid w:val="007B5371"/>
    <w:rsid w:val="007B5A7F"/>
    <w:rsid w:val="007B706E"/>
    <w:rsid w:val="007B71EB"/>
    <w:rsid w:val="007B7E9E"/>
    <w:rsid w:val="007C0D9D"/>
    <w:rsid w:val="007C2483"/>
    <w:rsid w:val="007C27EE"/>
    <w:rsid w:val="007C3634"/>
    <w:rsid w:val="007C3B49"/>
    <w:rsid w:val="007C5145"/>
    <w:rsid w:val="007C57B0"/>
    <w:rsid w:val="007C6205"/>
    <w:rsid w:val="007C632C"/>
    <w:rsid w:val="007C686A"/>
    <w:rsid w:val="007C728E"/>
    <w:rsid w:val="007C7504"/>
    <w:rsid w:val="007D0430"/>
    <w:rsid w:val="007D0D58"/>
    <w:rsid w:val="007D138D"/>
    <w:rsid w:val="007D2C53"/>
    <w:rsid w:val="007D32EC"/>
    <w:rsid w:val="007D3D60"/>
    <w:rsid w:val="007D454B"/>
    <w:rsid w:val="007D76F0"/>
    <w:rsid w:val="007E0884"/>
    <w:rsid w:val="007E09EC"/>
    <w:rsid w:val="007E1980"/>
    <w:rsid w:val="007E2FEF"/>
    <w:rsid w:val="007E4B76"/>
    <w:rsid w:val="007E4C90"/>
    <w:rsid w:val="007E5EA8"/>
    <w:rsid w:val="007E6392"/>
    <w:rsid w:val="007E72EF"/>
    <w:rsid w:val="007E7779"/>
    <w:rsid w:val="007E7C9B"/>
    <w:rsid w:val="007E7FE2"/>
    <w:rsid w:val="007F0CF1"/>
    <w:rsid w:val="007F12A5"/>
    <w:rsid w:val="007F255E"/>
    <w:rsid w:val="007F2573"/>
    <w:rsid w:val="007F3924"/>
    <w:rsid w:val="007F4CF1"/>
    <w:rsid w:val="007F57B1"/>
    <w:rsid w:val="007F64B6"/>
    <w:rsid w:val="007F758D"/>
    <w:rsid w:val="007F762F"/>
    <w:rsid w:val="007F7D52"/>
    <w:rsid w:val="007F7E55"/>
    <w:rsid w:val="00800974"/>
    <w:rsid w:val="00800A9B"/>
    <w:rsid w:val="00800B79"/>
    <w:rsid w:val="00801815"/>
    <w:rsid w:val="008024D8"/>
    <w:rsid w:val="00802943"/>
    <w:rsid w:val="00802CF0"/>
    <w:rsid w:val="00803F93"/>
    <w:rsid w:val="00804FE5"/>
    <w:rsid w:val="00805F1F"/>
    <w:rsid w:val="0080654C"/>
    <w:rsid w:val="008071C6"/>
    <w:rsid w:val="00807299"/>
    <w:rsid w:val="00807C3D"/>
    <w:rsid w:val="00811420"/>
    <w:rsid w:val="00811C73"/>
    <w:rsid w:val="00813955"/>
    <w:rsid w:val="00813987"/>
    <w:rsid w:val="00813FFF"/>
    <w:rsid w:val="00814078"/>
    <w:rsid w:val="00814F68"/>
    <w:rsid w:val="00815E2E"/>
    <w:rsid w:val="0081653F"/>
    <w:rsid w:val="008167A0"/>
    <w:rsid w:val="00817875"/>
    <w:rsid w:val="0081788C"/>
    <w:rsid w:val="00817A00"/>
    <w:rsid w:val="008206F7"/>
    <w:rsid w:val="008212EA"/>
    <w:rsid w:val="00821453"/>
    <w:rsid w:val="008218AB"/>
    <w:rsid w:val="008270D6"/>
    <w:rsid w:val="008301AD"/>
    <w:rsid w:val="008302C2"/>
    <w:rsid w:val="008307AE"/>
    <w:rsid w:val="008313BE"/>
    <w:rsid w:val="00833123"/>
    <w:rsid w:val="0083591F"/>
    <w:rsid w:val="00835DB3"/>
    <w:rsid w:val="0083617B"/>
    <w:rsid w:val="008369FD"/>
    <w:rsid w:val="008371BD"/>
    <w:rsid w:val="008408AC"/>
    <w:rsid w:val="00841BAA"/>
    <w:rsid w:val="0084320E"/>
    <w:rsid w:val="0084346B"/>
    <w:rsid w:val="00843C74"/>
    <w:rsid w:val="008440F8"/>
    <w:rsid w:val="008452D0"/>
    <w:rsid w:val="00845F16"/>
    <w:rsid w:val="00847D73"/>
    <w:rsid w:val="008504A8"/>
    <w:rsid w:val="0085065F"/>
    <w:rsid w:val="00851E4C"/>
    <w:rsid w:val="0085282E"/>
    <w:rsid w:val="0085303C"/>
    <w:rsid w:val="008532DB"/>
    <w:rsid w:val="008533F1"/>
    <w:rsid w:val="0085733D"/>
    <w:rsid w:val="008600E0"/>
    <w:rsid w:val="008601E1"/>
    <w:rsid w:val="0086232B"/>
    <w:rsid w:val="00862358"/>
    <w:rsid w:val="008641AE"/>
    <w:rsid w:val="008642C9"/>
    <w:rsid w:val="0086457C"/>
    <w:rsid w:val="00864DDF"/>
    <w:rsid w:val="008669E6"/>
    <w:rsid w:val="008677E8"/>
    <w:rsid w:val="008708D5"/>
    <w:rsid w:val="00870B4C"/>
    <w:rsid w:val="00870CA0"/>
    <w:rsid w:val="00871267"/>
    <w:rsid w:val="0087143F"/>
    <w:rsid w:val="0087198C"/>
    <w:rsid w:val="0087260A"/>
    <w:rsid w:val="00872C1F"/>
    <w:rsid w:val="008735FE"/>
    <w:rsid w:val="00873620"/>
    <w:rsid w:val="00873B2E"/>
    <w:rsid w:val="00873B42"/>
    <w:rsid w:val="00873C38"/>
    <w:rsid w:val="00875A2B"/>
    <w:rsid w:val="0087797D"/>
    <w:rsid w:val="00877AC2"/>
    <w:rsid w:val="00880CB6"/>
    <w:rsid w:val="00880E9D"/>
    <w:rsid w:val="00880F77"/>
    <w:rsid w:val="00881172"/>
    <w:rsid w:val="00881577"/>
    <w:rsid w:val="00883CB1"/>
    <w:rsid w:val="00884A74"/>
    <w:rsid w:val="00884B78"/>
    <w:rsid w:val="00884DD9"/>
    <w:rsid w:val="008856D8"/>
    <w:rsid w:val="008915BC"/>
    <w:rsid w:val="008921D9"/>
    <w:rsid w:val="00892E82"/>
    <w:rsid w:val="00893D9A"/>
    <w:rsid w:val="00893F91"/>
    <w:rsid w:val="00894328"/>
    <w:rsid w:val="008950DA"/>
    <w:rsid w:val="00895DDD"/>
    <w:rsid w:val="00897AC8"/>
    <w:rsid w:val="008A01BF"/>
    <w:rsid w:val="008A0BFE"/>
    <w:rsid w:val="008A13E1"/>
    <w:rsid w:val="008A1F76"/>
    <w:rsid w:val="008A2908"/>
    <w:rsid w:val="008A4571"/>
    <w:rsid w:val="008A6457"/>
    <w:rsid w:val="008B0518"/>
    <w:rsid w:val="008B20CF"/>
    <w:rsid w:val="008B4444"/>
    <w:rsid w:val="008B4D8A"/>
    <w:rsid w:val="008B5C14"/>
    <w:rsid w:val="008B6AEE"/>
    <w:rsid w:val="008C1B58"/>
    <w:rsid w:val="008C27A1"/>
    <w:rsid w:val="008C39AE"/>
    <w:rsid w:val="008C3FA6"/>
    <w:rsid w:val="008C590D"/>
    <w:rsid w:val="008C60EC"/>
    <w:rsid w:val="008C72A9"/>
    <w:rsid w:val="008C72D6"/>
    <w:rsid w:val="008C7FFD"/>
    <w:rsid w:val="008D00D3"/>
    <w:rsid w:val="008D1699"/>
    <w:rsid w:val="008D1747"/>
    <w:rsid w:val="008D1FF3"/>
    <w:rsid w:val="008D39B9"/>
    <w:rsid w:val="008D41B8"/>
    <w:rsid w:val="008D4FF3"/>
    <w:rsid w:val="008D5518"/>
    <w:rsid w:val="008D6979"/>
    <w:rsid w:val="008D6E80"/>
    <w:rsid w:val="008D74B0"/>
    <w:rsid w:val="008E00D7"/>
    <w:rsid w:val="008E031B"/>
    <w:rsid w:val="008E0F1D"/>
    <w:rsid w:val="008E20C2"/>
    <w:rsid w:val="008E2C8C"/>
    <w:rsid w:val="008E2F0B"/>
    <w:rsid w:val="008E3167"/>
    <w:rsid w:val="008E3842"/>
    <w:rsid w:val="008E45E6"/>
    <w:rsid w:val="008E474F"/>
    <w:rsid w:val="008E504A"/>
    <w:rsid w:val="008E5313"/>
    <w:rsid w:val="008E539F"/>
    <w:rsid w:val="008E7029"/>
    <w:rsid w:val="008E765C"/>
    <w:rsid w:val="008E7EF6"/>
    <w:rsid w:val="008F03D2"/>
    <w:rsid w:val="008F03EA"/>
    <w:rsid w:val="008F0CC4"/>
    <w:rsid w:val="008F1A75"/>
    <w:rsid w:val="008F1F57"/>
    <w:rsid w:val="008F1F98"/>
    <w:rsid w:val="008F450F"/>
    <w:rsid w:val="008F4C14"/>
    <w:rsid w:val="008F57B8"/>
    <w:rsid w:val="008F64A2"/>
    <w:rsid w:val="008F6758"/>
    <w:rsid w:val="008F69B3"/>
    <w:rsid w:val="008F6D7A"/>
    <w:rsid w:val="008F7A10"/>
    <w:rsid w:val="008F7C90"/>
    <w:rsid w:val="009015F6"/>
    <w:rsid w:val="0090353F"/>
    <w:rsid w:val="00903D1B"/>
    <w:rsid w:val="009040DD"/>
    <w:rsid w:val="00904F86"/>
    <w:rsid w:val="009052C2"/>
    <w:rsid w:val="00905B47"/>
    <w:rsid w:val="009060E7"/>
    <w:rsid w:val="00910833"/>
    <w:rsid w:val="00910C8C"/>
    <w:rsid w:val="00911C09"/>
    <w:rsid w:val="0091331C"/>
    <w:rsid w:val="0091429D"/>
    <w:rsid w:val="009147BD"/>
    <w:rsid w:val="009148C4"/>
    <w:rsid w:val="0092169D"/>
    <w:rsid w:val="00924B52"/>
    <w:rsid w:val="00925BCA"/>
    <w:rsid w:val="0092620D"/>
    <w:rsid w:val="00926E47"/>
    <w:rsid w:val="009279DE"/>
    <w:rsid w:val="00927A4D"/>
    <w:rsid w:val="00930116"/>
    <w:rsid w:val="009301B5"/>
    <w:rsid w:val="00934859"/>
    <w:rsid w:val="00935DE4"/>
    <w:rsid w:val="009361E2"/>
    <w:rsid w:val="009362A2"/>
    <w:rsid w:val="00936A03"/>
    <w:rsid w:val="00936A3D"/>
    <w:rsid w:val="00937DE1"/>
    <w:rsid w:val="00941906"/>
    <w:rsid w:val="00941AF4"/>
    <w:rsid w:val="0094212C"/>
    <w:rsid w:val="009440E0"/>
    <w:rsid w:val="00944F10"/>
    <w:rsid w:val="009465C5"/>
    <w:rsid w:val="0094708C"/>
    <w:rsid w:val="00951A21"/>
    <w:rsid w:val="00952003"/>
    <w:rsid w:val="009529F2"/>
    <w:rsid w:val="00953C4A"/>
    <w:rsid w:val="00953F73"/>
    <w:rsid w:val="00954689"/>
    <w:rsid w:val="00954753"/>
    <w:rsid w:val="009547A8"/>
    <w:rsid w:val="0095490C"/>
    <w:rsid w:val="00954C08"/>
    <w:rsid w:val="00954C5F"/>
    <w:rsid w:val="0095591C"/>
    <w:rsid w:val="00955C6E"/>
    <w:rsid w:val="00957662"/>
    <w:rsid w:val="00957893"/>
    <w:rsid w:val="0096015E"/>
    <w:rsid w:val="009603B0"/>
    <w:rsid w:val="009611D2"/>
    <w:rsid w:val="0096173F"/>
    <w:rsid w:val="009617C9"/>
    <w:rsid w:val="00961C93"/>
    <w:rsid w:val="009623FB"/>
    <w:rsid w:val="00962B71"/>
    <w:rsid w:val="0096310A"/>
    <w:rsid w:val="00963A6C"/>
    <w:rsid w:val="00963BDC"/>
    <w:rsid w:val="00965324"/>
    <w:rsid w:val="00965557"/>
    <w:rsid w:val="009658C5"/>
    <w:rsid w:val="00965CFA"/>
    <w:rsid w:val="009662C0"/>
    <w:rsid w:val="00966347"/>
    <w:rsid w:val="00970535"/>
    <w:rsid w:val="009707B7"/>
    <w:rsid w:val="0097091E"/>
    <w:rsid w:val="009726EC"/>
    <w:rsid w:val="009736D0"/>
    <w:rsid w:val="00973813"/>
    <w:rsid w:val="00973C49"/>
    <w:rsid w:val="009760D3"/>
    <w:rsid w:val="0097642E"/>
    <w:rsid w:val="00976B7A"/>
    <w:rsid w:val="00976EFE"/>
    <w:rsid w:val="00977132"/>
    <w:rsid w:val="0098103C"/>
    <w:rsid w:val="00981076"/>
    <w:rsid w:val="009812F6"/>
    <w:rsid w:val="00981A4B"/>
    <w:rsid w:val="0098228E"/>
    <w:rsid w:val="009824E1"/>
    <w:rsid w:val="00982501"/>
    <w:rsid w:val="0098253C"/>
    <w:rsid w:val="0098343C"/>
    <w:rsid w:val="0098533D"/>
    <w:rsid w:val="00986028"/>
    <w:rsid w:val="009863AD"/>
    <w:rsid w:val="00986606"/>
    <w:rsid w:val="00986902"/>
    <w:rsid w:val="009877D3"/>
    <w:rsid w:val="00987BED"/>
    <w:rsid w:val="00991621"/>
    <w:rsid w:val="00993E0C"/>
    <w:rsid w:val="00994E8F"/>
    <w:rsid w:val="00994F94"/>
    <w:rsid w:val="009951DC"/>
    <w:rsid w:val="009959BB"/>
    <w:rsid w:val="00997158"/>
    <w:rsid w:val="009A1C1B"/>
    <w:rsid w:val="009A3726"/>
    <w:rsid w:val="009A3A7C"/>
    <w:rsid w:val="009A3F94"/>
    <w:rsid w:val="009A4CD9"/>
    <w:rsid w:val="009A5814"/>
    <w:rsid w:val="009A6236"/>
    <w:rsid w:val="009A7119"/>
    <w:rsid w:val="009A761F"/>
    <w:rsid w:val="009A7769"/>
    <w:rsid w:val="009B0ED4"/>
    <w:rsid w:val="009B243B"/>
    <w:rsid w:val="009B2ADB"/>
    <w:rsid w:val="009B2F4D"/>
    <w:rsid w:val="009B41D3"/>
    <w:rsid w:val="009B4377"/>
    <w:rsid w:val="009B603A"/>
    <w:rsid w:val="009B60DF"/>
    <w:rsid w:val="009B6694"/>
    <w:rsid w:val="009C1AB1"/>
    <w:rsid w:val="009C2970"/>
    <w:rsid w:val="009C2D0E"/>
    <w:rsid w:val="009C3DAC"/>
    <w:rsid w:val="009C4060"/>
    <w:rsid w:val="009C42E0"/>
    <w:rsid w:val="009C4951"/>
    <w:rsid w:val="009C4E70"/>
    <w:rsid w:val="009C5519"/>
    <w:rsid w:val="009C569F"/>
    <w:rsid w:val="009D0859"/>
    <w:rsid w:val="009D254C"/>
    <w:rsid w:val="009D3EF3"/>
    <w:rsid w:val="009D4E81"/>
    <w:rsid w:val="009D5362"/>
    <w:rsid w:val="009D56DC"/>
    <w:rsid w:val="009D62E7"/>
    <w:rsid w:val="009D71A9"/>
    <w:rsid w:val="009D747F"/>
    <w:rsid w:val="009D74F3"/>
    <w:rsid w:val="009D785F"/>
    <w:rsid w:val="009E035D"/>
    <w:rsid w:val="009E0466"/>
    <w:rsid w:val="009E1415"/>
    <w:rsid w:val="009E26F4"/>
    <w:rsid w:val="009E490E"/>
    <w:rsid w:val="009E6116"/>
    <w:rsid w:val="009E623F"/>
    <w:rsid w:val="009E707F"/>
    <w:rsid w:val="009F27F4"/>
    <w:rsid w:val="009F302D"/>
    <w:rsid w:val="009F376B"/>
    <w:rsid w:val="009F382D"/>
    <w:rsid w:val="009F482A"/>
    <w:rsid w:val="009F4EC9"/>
    <w:rsid w:val="009F58B6"/>
    <w:rsid w:val="009F5E68"/>
    <w:rsid w:val="009F74F8"/>
    <w:rsid w:val="00A00926"/>
    <w:rsid w:val="00A00C38"/>
    <w:rsid w:val="00A01A7B"/>
    <w:rsid w:val="00A0270F"/>
    <w:rsid w:val="00A02E43"/>
    <w:rsid w:val="00A03C31"/>
    <w:rsid w:val="00A05ED1"/>
    <w:rsid w:val="00A065F9"/>
    <w:rsid w:val="00A069B9"/>
    <w:rsid w:val="00A07EA5"/>
    <w:rsid w:val="00A07F34"/>
    <w:rsid w:val="00A10440"/>
    <w:rsid w:val="00A109AF"/>
    <w:rsid w:val="00A1176B"/>
    <w:rsid w:val="00A12A49"/>
    <w:rsid w:val="00A1312D"/>
    <w:rsid w:val="00A1447B"/>
    <w:rsid w:val="00A1480B"/>
    <w:rsid w:val="00A17411"/>
    <w:rsid w:val="00A20132"/>
    <w:rsid w:val="00A21224"/>
    <w:rsid w:val="00A21965"/>
    <w:rsid w:val="00A21C55"/>
    <w:rsid w:val="00A22154"/>
    <w:rsid w:val="00A234AC"/>
    <w:rsid w:val="00A25C38"/>
    <w:rsid w:val="00A30AA4"/>
    <w:rsid w:val="00A30E55"/>
    <w:rsid w:val="00A319A7"/>
    <w:rsid w:val="00A346C4"/>
    <w:rsid w:val="00A34CAE"/>
    <w:rsid w:val="00A36BBE"/>
    <w:rsid w:val="00A371A4"/>
    <w:rsid w:val="00A377C4"/>
    <w:rsid w:val="00A42846"/>
    <w:rsid w:val="00A42BE8"/>
    <w:rsid w:val="00A4307A"/>
    <w:rsid w:val="00A447F9"/>
    <w:rsid w:val="00A45E54"/>
    <w:rsid w:val="00A46025"/>
    <w:rsid w:val="00A46E85"/>
    <w:rsid w:val="00A47EBB"/>
    <w:rsid w:val="00A5100F"/>
    <w:rsid w:val="00A5153F"/>
    <w:rsid w:val="00A51CDD"/>
    <w:rsid w:val="00A525D8"/>
    <w:rsid w:val="00A52E4D"/>
    <w:rsid w:val="00A53F0E"/>
    <w:rsid w:val="00A565ED"/>
    <w:rsid w:val="00A56715"/>
    <w:rsid w:val="00A56968"/>
    <w:rsid w:val="00A56EBC"/>
    <w:rsid w:val="00A579BF"/>
    <w:rsid w:val="00A57AF6"/>
    <w:rsid w:val="00A57F6B"/>
    <w:rsid w:val="00A60B9B"/>
    <w:rsid w:val="00A63405"/>
    <w:rsid w:val="00A63737"/>
    <w:rsid w:val="00A63B5D"/>
    <w:rsid w:val="00A643E4"/>
    <w:rsid w:val="00A64B2A"/>
    <w:rsid w:val="00A67013"/>
    <w:rsid w:val="00A6730D"/>
    <w:rsid w:val="00A703E2"/>
    <w:rsid w:val="00A70B21"/>
    <w:rsid w:val="00A7125C"/>
    <w:rsid w:val="00A713B5"/>
    <w:rsid w:val="00A71625"/>
    <w:rsid w:val="00A71B9B"/>
    <w:rsid w:val="00A72525"/>
    <w:rsid w:val="00A728FC"/>
    <w:rsid w:val="00A72FC7"/>
    <w:rsid w:val="00A751C7"/>
    <w:rsid w:val="00A75A4A"/>
    <w:rsid w:val="00A77528"/>
    <w:rsid w:val="00A80015"/>
    <w:rsid w:val="00A80461"/>
    <w:rsid w:val="00A80616"/>
    <w:rsid w:val="00A81F4A"/>
    <w:rsid w:val="00A82709"/>
    <w:rsid w:val="00A827CE"/>
    <w:rsid w:val="00A82E4B"/>
    <w:rsid w:val="00A83BCA"/>
    <w:rsid w:val="00A8440F"/>
    <w:rsid w:val="00A8589D"/>
    <w:rsid w:val="00A85F61"/>
    <w:rsid w:val="00A86000"/>
    <w:rsid w:val="00A86580"/>
    <w:rsid w:val="00A86D00"/>
    <w:rsid w:val="00A8705C"/>
    <w:rsid w:val="00A87844"/>
    <w:rsid w:val="00A90A4D"/>
    <w:rsid w:val="00A915E4"/>
    <w:rsid w:val="00A92AA4"/>
    <w:rsid w:val="00A93424"/>
    <w:rsid w:val="00A94953"/>
    <w:rsid w:val="00A96C6E"/>
    <w:rsid w:val="00A97A7D"/>
    <w:rsid w:val="00A97FF3"/>
    <w:rsid w:val="00AA0053"/>
    <w:rsid w:val="00AA038C"/>
    <w:rsid w:val="00AA0420"/>
    <w:rsid w:val="00AA1359"/>
    <w:rsid w:val="00AA1420"/>
    <w:rsid w:val="00AA5054"/>
    <w:rsid w:val="00AA5D8A"/>
    <w:rsid w:val="00AA729C"/>
    <w:rsid w:val="00AA7A09"/>
    <w:rsid w:val="00AB07E0"/>
    <w:rsid w:val="00AB3AF1"/>
    <w:rsid w:val="00AB3B50"/>
    <w:rsid w:val="00AB4493"/>
    <w:rsid w:val="00AB451E"/>
    <w:rsid w:val="00AB609E"/>
    <w:rsid w:val="00AC05B1"/>
    <w:rsid w:val="00AC12DB"/>
    <w:rsid w:val="00AC18AC"/>
    <w:rsid w:val="00AC3345"/>
    <w:rsid w:val="00AC39E2"/>
    <w:rsid w:val="00AC4A36"/>
    <w:rsid w:val="00AC4D38"/>
    <w:rsid w:val="00AC5199"/>
    <w:rsid w:val="00AC6C3C"/>
    <w:rsid w:val="00AC6E28"/>
    <w:rsid w:val="00AC782D"/>
    <w:rsid w:val="00AD05EC"/>
    <w:rsid w:val="00AD09C0"/>
    <w:rsid w:val="00AD0A1C"/>
    <w:rsid w:val="00AD1C1F"/>
    <w:rsid w:val="00AD1D3F"/>
    <w:rsid w:val="00AD30CF"/>
    <w:rsid w:val="00AD356C"/>
    <w:rsid w:val="00AD7C6A"/>
    <w:rsid w:val="00AE1F39"/>
    <w:rsid w:val="00AE239C"/>
    <w:rsid w:val="00AE2914"/>
    <w:rsid w:val="00AE41A8"/>
    <w:rsid w:val="00AE45D6"/>
    <w:rsid w:val="00AE4BCB"/>
    <w:rsid w:val="00AE4F73"/>
    <w:rsid w:val="00AE52AE"/>
    <w:rsid w:val="00AE654A"/>
    <w:rsid w:val="00AE6D15"/>
    <w:rsid w:val="00AF0445"/>
    <w:rsid w:val="00AF09AC"/>
    <w:rsid w:val="00AF0CDD"/>
    <w:rsid w:val="00AF0D51"/>
    <w:rsid w:val="00AF1093"/>
    <w:rsid w:val="00AF24C3"/>
    <w:rsid w:val="00AF28CC"/>
    <w:rsid w:val="00AF2CC3"/>
    <w:rsid w:val="00AF2D74"/>
    <w:rsid w:val="00AF337B"/>
    <w:rsid w:val="00AF4FD7"/>
    <w:rsid w:val="00AF52CA"/>
    <w:rsid w:val="00AF54E7"/>
    <w:rsid w:val="00AF5F33"/>
    <w:rsid w:val="00AF6F14"/>
    <w:rsid w:val="00AF70B7"/>
    <w:rsid w:val="00AF7852"/>
    <w:rsid w:val="00B00CB2"/>
    <w:rsid w:val="00B00D9D"/>
    <w:rsid w:val="00B00F18"/>
    <w:rsid w:val="00B038A2"/>
    <w:rsid w:val="00B04182"/>
    <w:rsid w:val="00B05C3A"/>
    <w:rsid w:val="00B05DFF"/>
    <w:rsid w:val="00B06D27"/>
    <w:rsid w:val="00B07AE3"/>
    <w:rsid w:val="00B10F47"/>
    <w:rsid w:val="00B11430"/>
    <w:rsid w:val="00B11DC4"/>
    <w:rsid w:val="00B136F6"/>
    <w:rsid w:val="00B13CA6"/>
    <w:rsid w:val="00B1416C"/>
    <w:rsid w:val="00B15F44"/>
    <w:rsid w:val="00B1680D"/>
    <w:rsid w:val="00B16D72"/>
    <w:rsid w:val="00B1715A"/>
    <w:rsid w:val="00B17EED"/>
    <w:rsid w:val="00B201C9"/>
    <w:rsid w:val="00B2180E"/>
    <w:rsid w:val="00B21C8F"/>
    <w:rsid w:val="00B22356"/>
    <w:rsid w:val="00B22C7D"/>
    <w:rsid w:val="00B24ED7"/>
    <w:rsid w:val="00B255EB"/>
    <w:rsid w:val="00B26892"/>
    <w:rsid w:val="00B30713"/>
    <w:rsid w:val="00B318D0"/>
    <w:rsid w:val="00B32D13"/>
    <w:rsid w:val="00B3491E"/>
    <w:rsid w:val="00B34C26"/>
    <w:rsid w:val="00B34F0F"/>
    <w:rsid w:val="00B353EB"/>
    <w:rsid w:val="00B36569"/>
    <w:rsid w:val="00B36B69"/>
    <w:rsid w:val="00B36C31"/>
    <w:rsid w:val="00B37487"/>
    <w:rsid w:val="00B402DE"/>
    <w:rsid w:val="00B430F8"/>
    <w:rsid w:val="00B4355D"/>
    <w:rsid w:val="00B439C4"/>
    <w:rsid w:val="00B43A9D"/>
    <w:rsid w:val="00B4402A"/>
    <w:rsid w:val="00B44EE5"/>
    <w:rsid w:val="00B4535E"/>
    <w:rsid w:val="00B45CD5"/>
    <w:rsid w:val="00B46A9E"/>
    <w:rsid w:val="00B46BE9"/>
    <w:rsid w:val="00B5010C"/>
    <w:rsid w:val="00B50270"/>
    <w:rsid w:val="00B50B07"/>
    <w:rsid w:val="00B512F7"/>
    <w:rsid w:val="00B51362"/>
    <w:rsid w:val="00B5140F"/>
    <w:rsid w:val="00B52155"/>
    <w:rsid w:val="00B52156"/>
    <w:rsid w:val="00B5229D"/>
    <w:rsid w:val="00B52A8C"/>
    <w:rsid w:val="00B550BF"/>
    <w:rsid w:val="00B55FF1"/>
    <w:rsid w:val="00B636A8"/>
    <w:rsid w:val="00B63AA1"/>
    <w:rsid w:val="00B665C6"/>
    <w:rsid w:val="00B716EF"/>
    <w:rsid w:val="00B71B9C"/>
    <w:rsid w:val="00B72793"/>
    <w:rsid w:val="00B73ECD"/>
    <w:rsid w:val="00B7532B"/>
    <w:rsid w:val="00B75DE0"/>
    <w:rsid w:val="00B76329"/>
    <w:rsid w:val="00B76A72"/>
    <w:rsid w:val="00B76F74"/>
    <w:rsid w:val="00B77750"/>
    <w:rsid w:val="00B7799F"/>
    <w:rsid w:val="00B8031E"/>
    <w:rsid w:val="00B805AF"/>
    <w:rsid w:val="00B8085C"/>
    <w:rsid w:val="00B81D76"/>
    <w:rsid w:val="00B8270E"/>
    <w:rsid w:val="00B8403B"/>
    <w:rsid w:val="00B869EC"/>
    <w:rsid w:val="00B86D06"/>
    <w:rsid w:val="00B91B33"/>
    <w:rsid w:val="00B929BE"/>
    <w:rsid w:val="00B9397A"/>
    <w:rsid w:val="00B942B6"/>
    <w:rsid w:val="00B94746"/>
    <w:rsid w:val="00B94A12"/>
    <w:rsid w:val="00B95BDC"/>
    <w:rsid w:val="00B9633D"/>
    <w:rsid w:val="00B97360"/>
    <w:rsid w:val="00BA0501"/>
    <w:rsid w:val="00BA0B75"/>
    <w:rsid w:val="00BA2029"/>
    <w:rsid w:val="00BA2436"/>
    <w:rsid w:val="00BA2EBE"/>
    <w:rsid w:val="00BA3BD0"/>
    <w:rsid w:val="00BA4779"/>
    <w:rsid w:val="00BA5A88"/>
    <w:rsid w:val="00BA68BD"/>
    <w:rsid w:val="00BB0F28"/>
    <w:rsid w:val="00BB2B48"/>
    <w:rsid w:val="00BB3095"/>
    <w:rsid w:val="00BB3396"/>
    <w:rsid w:val="00BB376D"/>
    <w:rsid w:val="00BB458A"/>
    <w:rsid w:val="00BB66CB"/>
    <w:rsid w:val="00BC266D"/>
    <w:rsid w:val="00BC4446"/>
    <w:rsid w:val="00BC4B39"/>
    <w:rsid w:val="00BC4DCC"/>
    <w:rsid w:val="00BC5161"/>
    <w:rsid w:val="00BC5516"/>
    <w:rsid w:val="00BC6781"/>
    <w:rsid w:val="00BC6910"/>
    <w:rsid w:val="00BC6A29"/>
    <w:rsid w:val="00BC6D68"/>
    <w:rsid w:val="00BC7526"/>
    <w:rsid w:val="00BD00D3"/>
    <w:rsid w:val="00BD0928"/>
    <w:rsid w:val="00BD09F7"/>
    <w:rsid w:val="00BD0EA7"/>
    <w:rsid w:val="00BD11DF"/>
    <w:rsid w:val="00BD1659"/>
    <w:rsid w:val="00BD1833"/>
    <w:rsid w:val="00BD1F95"/>
    <w:rsid w:val="00BD3AA9"/>
    <w:rsid w:val="00BD3D59"/>
    <w:rsid w:val="00BD4A18"/>
    <w:rsid w:val="00BD4A98"/>
    <w:rsid w:val="00BD5674"/>
    <w:rsid w:val="00BD60A6"/>
    <w:rsid w:val="00BD6DB2"/>
    <w:rsid w:val="00BD6E5B"/>
    <w:rsid w:val="00BE11CF"/>
    <w:rsid w:val="00BE21AB"/>
    <w:rsid w:val="00BE2427"/>
    <w:rsid w:val="00BE24D3"/>
    <w:rsid w:val="00BE4331"/>
    <w:rsid w:val="00BE4664"/>
    <w:rsid w:val="00BE5405"/>
    <w:rsid w:val="00BE55CB"/>
    <w:rsid w:val="00BE579D"/>
    <w:rsid w:val="00BE66FA"/>
    <w:rsid w:val="00BE70AD"/>
    <w:rsid w:val="00BE73CB"/>
    <w:rsid w:val="00BF033D"/>
    <w:rsid w:val="00BF1304"/>
    <w:rsid w:val="00BF23AF"/>
    <w:rsid w:val="00BF2BDB"/>
    <w:rsid w:val="00BF49EA"/>
    <w:rsid w:val="00BF617A"/>
    <w:rsid w:val="00BF6364"/>
    <w:rsid w:val="00BF6B46"/>
    <w:rsid w:val="00BF6FCE"/>
    <w:rsid w:val="00BF7D72"/>
    <w:rsid w:val="00C015F3"/>
    <w:rsid w:val="00C029F4"/>
    <w:rsid w:val="00C0379D"/>
    <w:rsid w:val="00C03931"/>
    <w:rsid w:val="00C05FE3"/>
    <w:rsid w:val="00C066E8"/>
    <w:rsid w:val="00C06E81"/>
    <w:rsid w:val="00C10957"/>
    <w:rsid w:val="00C11B17"/>
    <w:rsid w:val="00C13120"/>
    <w:rsid w:val="00C14A8F"/>
    <w:rsid w:val="00C1599B"/>
    <w:rsid w:val="00C15C2C"/>
    <w:rsid w:val="00C1728B"/>
    <w:rsid w:val="00C1773C"/>
    <w:rsid w:val="00C20D71"/>
    <w:rsid w:val="00C2136D"/>
    <w:rsid w:val="00C214EE"/>
    <w:rsid w:val="00C2314B"/>
    <w:rsid w:val="00C24971"/>
    <w:rsid w:val="00C24A1F"/>
    <w:rsid w:val="00C26BE5"/>
    <w:rsid w:val="00C26E4D"/>
    <w:rsid w:val="00C272F8"/>
    <w:rsid w:val="00C27909"/>
    <w:rsid w:val="00C27B03"/>
    <w:rsid w:val="00C27E0E"/>
    <w:rsid w:val="00C310A8"/>
    <w:rsid w:val="00C314E1"/>
    <w:rsid w:val="00C32702"/>
    <w:rsid w:val="00C33A9B"/>
    <w:rsid w:val="00C34397"/>
    <w:rsid w:val="00C34818"/>
    <w:rsid w:val="00C358E3"/>
    <w:rsid w:val="00C35B2A"/>
    <w:rsid w:val="00C3788B"/>
    <w:rsid w:val="00C40037"/>
    <w:rsid w:val="00C406D3"/>
    <w:rsid w:val="00C4095D"/>
    <w:rsid w:val="00C409C3"/>
    <w:rsid w:val="00C425B7"/>
    <w:rsid w:val="00C4543C"/>
    <w:rsid w:val="00C46D40"/>
    <w:rsid w:val="00C5067B"/>
    <w:rsid w:val="00C5136F"/>
    <w:rsid w:val="00C541FA"/>
    <w:rsid w:val="00C54B21"/>
    <w:rsid w:val="00C601D2"/>
    <w:rsid w:val="00C60CCA"/>
    <w:rsid w:val="00C65BCC"/>
    <w:rsid w:val="00C66923"/>
    <w:rsid w:val="00C66970"/>
    <w:rsid w:val="00C6768E"/>
    <w:rsid w:val="00C70A1F"/>
    <w:rsid w:val="00C7194D"/>
    <w:rsid w:val="00C73B81"/>
    <w:rsid w:val="00C746E7"/>
    <w:rsid w:val="00C763D6"/>
    <w:rsid w:val="00C818D5"/>
    <w:rsid w:val="00C81EA0"/>
    <w:rsid w:val="00C82EFD"/>
    <w:rsid w:val="00C8313E"/>
    <w:rsid w:val="00C8691C"/>
    <w:rsid w:val="00C877E6"/>
    <w:rsid w:val="00C90C9D"/>
    <w:rsid w:val="00C91925"/>
    <w:rsid w:val="00C91F8C"/>
    <w:rsid w:val="00C93A2A"/>
    <w:rsid w:val="00C93D4F"/>
    <w:rsid w:val="00C9434B"/>
    <w:rsid w:val="00C9626D"/>
    <w:rsid w:val="00C9669A"/>
    <w:rsid w:val="00C97478"/>
    <w:rsid w:val="00C97B07"/>
    <w:rsid w:val="00CA0D67"/>
    <w:rsid w:val="00CA168A"/>
    <w:rsid w:val="00CA2B6D"/>
    <w:rsid w:val="00CA2FAC"/>
    <w:rsid w:val="00CA357E"/>
    <w:rsid w:val="00CA3B30"/>
    <w:rsid w:val="00CA44F9"/>
    <w:rsid w:val="00CA45A6"/>
    <w:rsid w:val="00CA4779"/>
    <w:rsid w:val="00CA4A69"/>
    <w:rsid w:val="00CA5483"/>
    <w:rsid w:val="00CA78C8"/>
    <w:rsid w:val="00CA7D9E"/>
    <w:rsid w:val="00CA7DCE"/>
    <w:rsid w:val="00CB08F1"/>
    <w:rsid w:val="00CB0F07"/>
    <w:rsid w:val="00CB134B"/>
    <w:rsid w:val="00CB268A"/>
    <w:rsid w:val="00CB32C5"/>
    <w:rsid w:val="00CB58DF"/>
    <w:rsid w:val="00CB67E8"/>
    <w:rsid w:val="00CB772E"/>
    <w:rsid w:val="00CC1542"/>
    <w:rsid w:val="00CC1797"/>
    <w:rsid w:val="00CC3E0C"/>
    <w:rsid w:val="00CC4F61"/>
    <w:rsid w:val="00CC58D3"/>
    <w:rsid w:val="00CC6BF3"/>
    <w:rsid w:val="00CC6D93"/>
    <w:rsid w:val="00CC70E8"/>
    <w:rsid w:val="00CC784D"/>
    <w:rsid w:val="00CC7909"/>
    <w:rsid w:val="00CC7A00"/>
    <w:rsid w:val="00CD3514"/>
    <w:rsid w:val="00CD37DF"/>
    <w:rsid w:val="00CD3BFC"/>
    <w:rsid w:val="00CD501A"/>
    <w:rsid w:val="00CD558A"/>
    <w:rsid w:val="00CD5756"/>
    <w:rsid w:val="00CD5B0D"/>
    <w:rsid w:val="00CD6696"/>
    <w:rsid w:val="00CD7EBA"/>
    <w:rsid w:val="00CE04F7"/>
    <w:rsid w:val="00CE13AF"/>
    <w:rsid w:val="00CE38CD"/>
    <w:rsid w:val="00CE3B12"/>
    <w:rsid w:val="00CE4D29"/>
    <w:rsid w:val="00CE4D48"/>
    <w:rsid w:val="00CE4E36"/>
    <w:rsid w:val="00CE4F55"/>
    <w:rsid w:val="00CE5EC4"/>
    <w:rsid w:val="00CF05A8"/>
    <w:rsid w:val="00CF1E87"/>
    <w:rsid w:val="00CF26B9"/>
    <w:rsid w:val="00CF26E4"/>
    <w:rsid w:val="00CF316C"/>
    <w:rsid w:val="00CF3B02"/>
    <w:rsid w:val="00CF6BE8"/>
    <w:rsid w:val="00CF7541"/>
    <w:rsid w:val="00CF76B1"/>
    <w:rsid w:val="00D01FE0"/>
    <w:rsid w:val="00D0337B"/>
    <w:rsid w:val="00D03B01"/>
    <w:rsid w:val="00D03DB5"/>
    <w:rsid w:val="00D0517F"/>
    <w:rsid w:val="00D06811"/>
    <w:rsid w:val="00D0718F"/>
    <w:rsid w:val="00D079B2"/>
    <w:rsid w:val="00D114E9"/>
    <w:rsid w:val="00D1311E"/>
    <w:rsid w:val="00D13749"/>
    <w:rsid w:val="00D141EF"/>
    <w:rsid w:val="00D1506B"/>
    <w:rsid w:val="00D150E9"/>
    <w:rsid w:val="00D15ED6"/>
    <w:rsid w:val="00D2102C"/>
    <w:rsid w:val="00D22D06"/>
    <w:rsid w:val="00D237DD"/>
    <w:rsid w:val="00D23D61"/>
    <w:rsid w:val="00D23F86"/>
    <w:rsid w:val="00D25FE0"/>
    <w:rsid w:val="00D31470"/>
    <w:rsid w:val="00D31B4A"/>
    <w:rsid w:val="00D3352F"/>
    <w:rsid w:val="00D339E8"/>
    <w:rsid w:val="00D348DF"/>
    <w:rsid w:val="00D37A07"/>
    <w:rsid w:val="00D416F0"/>
    <w:rsid w:val="00D4210B"/>
    <w:rsid w:val="00D429C6"/>
    <w:rsid w:val="00D42BFD"/>
    <w:rsid w:val="00D42C14"/>
    <w:rsid w:val="00D42FA0"/>
    <w:rsid w:val="00D4354B"/>
    <w:rsid w:val="00D435AF"/>
    <w:rsid w:val="00D44461"/>
    <w:rsid w:val="00D44527"/>
    <w:rsid w:val="00D4550A"/>
    <w:rsid w:val="00D45B3F"/>
    <w:rsid w:val="00D47748"/>
    <w:rsid w:val="00D50E66"/>
    <w:rsid w:val="00D52623"/>
    <w:rsid w:val="00D541E6"/>
    <w:rsid w:val="00D54CC3"/>
    <w:rsid w:val="00D55F2A"/>
    <w:rsid w:val="00D6041A"/>
    <w:rsid w:val="00D60B54"/>
    <w:rsid w:val="00D6229E"/>
    <w:rsid w:val="00D63137"/>
    <w:rsid w:val="00D633EB"/>
    <w:rsid w:val="00D639B7"/>
    <w:rsid w:val="00D64651"/>
    <w:rsid w:val="00D66510"/>
    <w:rsid w:val="00D666D2"/>
    <w:rsid w:val="00D66866"/>
    <w:rsid w:val="00D6701F"/>
    <w:rsid w:val="00D67BE4"/>
    <w:rsid w:val="00D70FD4"/>
    <w:rsid w:val="00D717EC"/>
    <w:rsid w:val="00D71DBB"/>
    <w:rsid w:val="00D72C3D"/>
    <w:rsid w:val="00D73371"/>
    <w:rsid w:val="00D73DCC"/>
    <w:rsid w:val="00D75289"/>
    <w:rsid w:val="00D753E1"/>
    <w:rsid w:val="00D75628"/>
    <w:rsid w:val="00D761A5"/>
    <w:rsid w:val="00D76C9F"/>
    <w:rsid w:val="00D77021"/>
    <w:rsid w:val="00D81758"/>
    <w:rsid w:val="00D81952"/>
    <w:rsid w:val="00D82FF7"/>
    <w:rsid w:val="00D8336D"/>
    <w:rsid w:val="00D83D75"/>
    <w:rsid w:val="00D847FE"/>
    <w:rsid w:val="00D85F21"/>
    <w:rsid w:val="00D86AAF"/>
    <w:rsid w:val="00D906B2"/>
    <w:rsid w:val="00D9181D"/>
    <w:rsid w:val="00D91AA3"/>
    <w:rsid w:val="00D93148"/>
    <w:rsid w:val="00D93314"/>
    <w:rsid w:val="00D946E4"/>
    <w:rsid w:val="00D94E00"/>
    <w:rsid w:val="00D955FA"/>
    <w:rsid w:val="00D95804"/>
    <w:rsid w:val="00D95F61"/>
    <w:rsid w:val="00D964EA"/>
    <w:rsid w:val="00D966D0"/>
    <w:rsid w:val="00D9754C"/>
    <w:rsid w:val="00D97AD6"/>
    <w:rsid w:val="00D97F09"/>
    <w:rsid w:val="00DA0C59"/>
    <w:rsid w:val="00DA3205"/>
    <w:rsid w:val="00DA3991"/>
    <w:rsid w:val="00DA5CB5"/>
    <w:rsid w:val="00DA6283"/>
    <w:rsid w:val="00DB07B7"/>
    <w:rsid w:val="00DB0990"/>
    <w:rsid w:val="00DB2858"/>
    <w:rsid w:val="00DB2C90"/>
    <w:rsid w:val="00DB417D"/>
    <w:rsid w:val="00DB4913"/>
    <w:rsid w:val="00DB6326"/>
    <w:rsid w:val="00DB782A"/>
    <w:rsid w:val="00DB7E44"/>
    <w:rsid w:val="00DB7E6C"/>
    <w:rsid w:val="00DC0A64"/>
    <w:rsid w:val="00DC31ED"/>
    <w:rsid w:val="00DC34F6"/>
    <w:rsid w:val="00DC3D90"/>
    <w:rsid w:val="00DC5868"/>
    <w:rsid w:val="00DC798F"/>
    <w:rsid w:val="00DD00B0"/>
    <w:rsid w:val="00DD0449"/>
    <w:rsid w:val="00DD107F"/>
    <w:rsid w:val="00DD157C"/>
    <w:rsid w:val="00DD1766"/>
    <w:rsid w:val="00DD431F"/>
    <w:rsid w:val="00DD444A"/>
    <w:rsid w:val="00DD4C85"/>
    <w:rsid w:val="00DD4DB6"/>
    <w:rsid w:val="00DD596B"/>
    <w:rsid w:val="00DD5A29"/>
    <w:rsid w:val="00DD5D9D"/>
    <w:rsid w:val="00DD6E3F"/>
    <w:rsid w:val="00DD7F15"/>
    <w:rsid w:val="00DE043A"/>
    <w:rsid w:val="00DE0772"/>
    <w:rsid w:val="00DE117E"/>
    <w:rsid w:val="00DE2416"/>
    <w:rsid w:val="00DE35CB"/>
    <w:rsid w:val="00DE4CEC"/>
    <w:rsid w:val="00DE7B45"/>
    <w:rsid w:val="00DF21E9"/>
    <w:rsid w:val="00DF37A6"/>
    <w:rsid w:val="00DF3F4A"/>
    <w:rsid w:val="00DF57F3"/>
    <w:rsid w:val="00DF60DD"/>
    <w:rsid w:val="00DF6951"/>
    <w:rsid w:val="00DF6FC8"/>
    <w:rsid w:val="00DF701C"/>
    <w:rsid w:val="00DF76EA"/>
    <w:rsid w:val="00E00F14"/>
    <w:rsid w:val="00E01267"/>
    <w:rsid w:val="00E012F4"/>
    <w:rsid w:val="00E01A2B"/>
    <w:rsid w:val="00E01B66"/>
    <w:rsid w:val="00E03640"/>
    <w:rsid w:val="00E06386"/>
    <w:rsid w:val="00E07354"/>
    <w:rsid w:val="00E1058A"/>
    <w:rsid w:val="00E10B9D"/>
    <w:rsid w:val="00E11A6A"/>
    <w:rsid w:val="00E120DB"/>
    <w:rsid w:val="00E148AA"/>
    <w:rsid w:val="00E1546C"/>
    <w:rsid w:val="00E1559A"/>
    <w:rsid w:val="00E17BB9"/>
    <w:rsid w:val="00E20285"/>
    <w:rsid w:val="00E21C80"/>
    <w:rsid w:val="00E22768"/>
    <w:rsid w:val="00E249DE"/>
    <w:rsid w:val="00E24CB8"/>
    <w:rsid w:val="00E24EB4"/>
    <w:rsid w:val="00E2630C"/>
    <w:rsid w:val="00E27326"/>
    <w:rsid w:val="00E278E6"/>
    <w:rsid w:val="00E27F7C"/>
    <w:rsid w:val="00E31497"/>
    <w:rsid w:val="00E320ED"/>
    <w:rsid w:val="00E32181"/>
    <w:rsid w:val="00E3272C"/>
    <w:rsid w:val="00E333A1"/>
    <w:rsid w:val="00E33AFB"/>
    <w:rsid w:val="00E34218"/>
    <w:rsid w:val="00E34325"/>
    <w:rsid w:val="00E35098"/>
    <w:rsid w:val="00E36209"/>
    <w:rsid w:val="00E36547"/>
    <w:rsid w:val="00E37432"/>
    <w:rsid w:val="00E40710"/>
    <w:rsid w:val="00E42315"/>
    <w:rsid w:val="00E42A2E"/>
    <w:rsid w:val="00E43E31"/>
    <w:rsid w:val="00E44861"/>
    <w:rsid w:val="00E45726"/>
    <w:rsid w:val="00E4595B"/>
    <w:rsid w:val="00E46282"/>
    <w:rsid w:val="00E464EE"/>
    <w:rsid w:val="00E47147"/>
    <w:rsid w:val="00E47F85"/>
    <w:rsid w:val="00E505FA"/>
    <w:rsid w:val="00E5061E"/>
    <w:rsid w:val="00E51048"/>
    <w:rsid w:val="00E51397"/>
    <w:rsid w:val="00E5216E"/>
    <w:rsid w:val="00E52347"/>
    <w:rsid w:val="00E52A5D"/>
    <w:rsid w:val="00E53AA8"/>
    <w:rsid w:val="00E53E47"/>
    <w:rsid w:val="00E54462"/>
    <w:rsid w:val="00E55234"/>
    <w:rsid w:val="00E55C7C"/>
    <w:rsid w:val="00E55C92"/>
    <w:rsid w:val="00E55EEF"/>
    <w:rsid w:val="00E56B43"/>
    <w:rsid w:val="00E573C2"/>
    <w:rsid w:val="00E57401"/>
    <w:rsid w:val="00E57EBA"/>
    <w:rsid w:val="00E601C2"/>
    <w:rsid w:val="00E61797"/>
    <w:rsid w:val="00E63171"/>
    <w:rsid w:val="00E636CC"/>
    <w:rsid w:val="00E63B04"/>
    <w:rsid w:val="00E64711"/>
    <w:rsid w:val="00E64B00"/>
    <w:rsid w:val="00E64DE0"/>
    <w:rsid w:val="00E6530F"/>
    <w:rsid w:val="00E653D0"/>
    <w:rsid w:val="00E67609"/>
    <w:rsid w:val="00E67788"/>
    <w:rsid w:val="00E679D2"/>
    <w:rsid w:val="00E70219"/>
    <w:rsid w:val="00E704BA"/>
    <w:rsid w:val="00E71FE1"/>
    <w:rsid w:val="00E72F4A"/>
    <w:rsid w:val="00E7592B"/>
    <w:rsid w:val="00E81623"/>
    <w:rsid w:val="00E82344"/>
    <w:rsid w:val="00E828DD"/>
    <w:rsid w:val="00E840DD"/>
    <w:rsid w:val="00E84C82"/>
    <w:rsid w:val="00E84D64"/>
    <w:rsid w:val="00E86A01"/>
    <w:rsid w:val="00E87408"/>
    <w:rsid w:val="00E903AF"/>
    <w:rsid w:val="00E914C4"/>
    <w:rsid w:val="00E91B5B"/>
    <w:rsid w:val="00E934F5"/>
    <w:rsid w:val="00E94310"/>
    <w:rsid w:val="00E94ABB"/>
    <w:rsid w:val="00E95149"/>
    <w:rsid w:val="00E95A67"/>
    <w:rsid w:val="00E96961"/>
    <w:rsid w:val="00E96BBA"/>
    <w:rsid w:val="00E97B87"/>
    <w:rsid w:val="00EA0500"/>
    <w:rsid w:val="00EA0EC6"/>
    <w:rsid w:val="00EA0FA3"/>
    <w:rsid w:val="00EA11D0"/>
    <w:rsid w:val="00EA19B7"/>
    <w:rsid w:val="00EA2830"/>
    <w:rsid w:val="00EA2A4E"/>
    <w:rsid w:val="00EA2BE9"/>
    <w:rsid w:val="00EA3671"/>
    <w:rsid w:val="00EA471E"/>
    <w:rsid w:val="00EA4F24"/>
    <w:rsid w:val="00EA6B81"/>
    <w:rsid w:val="00EA7294"/>
    <w:rsid w:val="00EA72EC"/>
    <w:rsid w:val="00EA7CDC"/>
    <w:rsid w:val="00EB11CB"/>
    <w:rsid w:val="00EB275A"/>
    <w:rsid w:val="00EB396D"/>
    <w:rsid w:val="00EB3F25"/>
    <w:rsid w:val="00EB44A4"/>
    <w:rsid w:val="00EB786A"/>
    <w:rsid w:val="00EC0854"/>
    <w:rsid w:val="00EC0FEA"/>
    <w:rsid w:val="00EC1578"/>
    <w:rsid w:val="00EC1C72"/>
    <w:rsid w:val="00EC229F"/>
    <w:rsid w:val="00EC3CC9"/>
    <w:rsid w:val="00EC6375"/>
    <w:rsid w:val="00EC680A"/>
    <w:rsid w:val="00EC6A30"/>
    <w:rsid w:val="00EC6EAC"/>
    <w:rsid w:val="00ED03D7"/>
    <w:rsid w:val="00ED09D8"/>
    <w:rsid w:val="00ED30AD"/>
    <w:rsid w:val="00ED6495"/>
    <w:rsid w:val="00ED7730"/>
    <w:rsid w:val="00EE04E8"/>
    <w:rsid w:val="00EE13A4"/>
    <w:rsid w:val="00EE1632"/>
    <w:rsid w:val="00EE1763"/>
    <w:rsid w:val="00EE2BED"/>
    <w:rsid w:val="00EE374B"/>
    <w:rsid w:val="00EE3D60"/>
    <w:rsid w:val="00EE79DB"/>
    <w:rsid w:val="00EF02D2"/>
    <w:rsid w:val="00EF244E"/>
    <w:rsid w:val="00EF3775"/>
    <w:rsid w:val="00EF4504"/>
    <w:rsid w:val="00EF5952"/>
    <w:rsid w:val="00EF5FB4"/>
    <w:rsid w:val="00EF6A45"/>
    <w:rsid w:val="00EF738F"/>
    <w:rsid w:val="00F00A1D"/>
    <w:rsid w:val="00F0112F"/>
    <w:rsid w:val="00F01A90"/>
    <w:rsid w:val="00F020BF"/>
    <w:rsid w:val="00F02C44"/>
    <w:rsid w:val="00F043E8"/>
    <w:rsid w:val="00F06187"/>
    <w:rsid w:val="00F07EF5"/>
    <w:rsid w:val="00F101FF"/>
    <w:rsid w:val="00F10B99"/>
    <w:rsid w:val="00F11347"/>
    <w:rsid w:val="00F11BB5"/>
    <w:rsid w:val="00F126B5"/>
    <w:rsid w:val="00F1274D"/>
    <w:rsid w:val="00F13616"/>
    <w:rsid w:val="00F1417B"/>
    <w:rsid w:val="00F1499F"/>
    <w:rsid w:val="00F1516D"/>
    <w:rsid w:val="00F20525"/>
    <w:rsid w:val="00F20C36"/>
    <w:rsid w:val="00F2102E"/>
    <w:rsid w:val="00F23CF5"/>
    <w:rsid w:val="00F2583D"/>
    <w:rsid w:val="00F2618A"/>
    <w:rsid w:val="00F26A52"/>
    <w:rsid w:val="00F26C2E"/>
    <w:rsid w:val="00F2751A"/>
    <w:rsid w:val="00F276E9"/>
    <w:rsid w:val="00F27B72"/>
    <w:rsid w:val="00F316CB"/>
    <w:rsid w:val="00F32CAE"/>
    <w:rsid w:val="00F32D1B"/>
    <w:rsid w:val="00F32FB1"/>
    <w:rsid w:val="00F3419E"/>
    <w:rsid w:val="00F34B99"/>
    <w:rsid w:val="00F354AB"/>
    <w:rsid w:val="00F35F1B"/>
    <w:rsid w:val="00F368A4"/>
    <w:rsid w:val="00F36D5E"/>
    <w:rsid w:val="00F402A0"/>
    <w:rsid w:val="00F40451"/>
    <w:rsid w:val="00F40C90"/>
    <w:rsid w:val="00F4321B"/>
    <w:rsid w:val="00F4375D"/>
    <w:rsid w:val="00F46D16"/>
    <w:rsid w:val="00F46F45"/>
    <w:rsid w:val="00F476D9"/>
    <w:rsid w:val="00F515FE"/>
    <w:rsid w:val="00F51F02"/>
    <w:rsid w:val="00F52DAB"/>
    <w:rsid w:val="00F52EF8"/>
    <w:rsid w:val="00F534C1"/>
    <w:rsid w:val="00F543F0"/>
    <w:rsid w:val="00F555CD"/>
    <w:rsid w:val="00F560B4"/>
    <w:rsid w:val="00F579FB"/>
    <w:rsid w:val="00F60282"/>
    <w:rsid w:val="00F60560"/>
    <w:rsid w:val="00F6149E"/>
    <w:rsid w:val="00F614DF"/>
    <w:rsid w:val="00F61D6E"/>
    <w:rsid w:val="00F62392"/>
    <w:rsid w:val="00F63A0B"/>
    <w:rsid w:val="00F64AB4"/>
    <w:rsid w:val="00F66EEA"/>
    <w:rsid w:val="00F7112F"/>
    <w:rsid w:val="00F73701"/>
    <w:rsid w:val="00F74948"/>
    <w:rsid w:val="00F75B40"/>
    <w:rsid w:val="00F770F3"/>
    <w:rsid w:val="00F77E59"/>
    <w:rsid w:val="00F801A6"/>
    <w:rsid w:val="00F80D57"/>
    <w:rsid w:val="00F816B4"/>
    <w:rsid w:val="00F81D29"/>
    <w:rsid w:val="00F8449C"/>
    <w:rsid w:val="00F85A82"/>
    <w:rsid w:val="00F85C03"/>
    <w:rsid w:val="00F879DC"/>
    <w:rsid w:val="00F91682"/>
    <w:rsid w:val="00F91C4D"/>
    <w:rsid w:val="00F91FCA"/>
    <w:rsid w:val="00F92FD9"/>
    <w:rsid w:val="00F94463"/>
    <w:rsid w:val="00F94692"/>
    <w:rsid w:val="00F948AB"/>
    <w:rsid w:val="00F94CB8"/>
    <w:rsid w:val="00F977A7"/>
    <w:rsid w:val="00F977E0"/>
    <w:rsid w:val="00F97CDB"/>
    <w:rsid w:val="00FA0B1A"/>
    <w:rsid w:val="00FA2299"/>
    <w:rsid w:val="00FA239B"/>
    <w:rsid w:val="00FA3365"/>
    <w:rsid w:val="00FA5ABD"/>
    <w:rsid w:val="00FA5F00"/>
    <w:rsid w:val="00FA62AF"/>
    <w:rsid w:val="00FA63A6"/>
    <w:rsid w:val="00FA6684"/>
    <w:rsid w:val="00FA6A48"/>
    <w:rsid w:val="00FA731E"/>
    <w:rsid w:val="00FB16A7"/>
    <w:rsid w:val="00FB1F4E"/>
    <w:rsid w:val="00FB263C"/>
    <w:rsid w:val="00FB2B38"/>
    <w:rsid w:val="00FB32DC"/>
    <w:rsid w:val="00FB4ABD"/>
    <w:rsid w:val="00FB4DD2"/>
    <w:rsid w:val="00FB5273"/>
    <w:rsid w:val="00FB64DE"/>
    <w:rsid w:val="00FB6E89"/>
    <w:rsid w:val="00FB797A"/>
    <w:rsid w:val="00FC1077"/>
    <w:rsid w:val="00FC1199"/>
    <w:rsid w:val="00FC1D27"/>
    <w:rsid w:val="00FC21A1"/>
    <w:rsid w:val="00FC2A5A"/>
    <w:rsid w:val="00FC4036"/>
    <w:rsid w:val="00FC4A63"/>
    <w:rsid w:val="00FC6358"/>
    <w:rsid w:val="00FC7E1F"/>
    <w:rsid w:val="00FD01CF"/>
    <w:rsid w:val="00FD1A2D"/>
    <w:rsid w:val="00FD282D"/>
    <w:rsid w:val="00FD320D"/>
    <w:rsid w:val="00FD439D"/>
    <w:rsid w:val="00FD4732"/>
    <w:rsid w:val="00FD5E8D"/>
    <w:rsid w:val="00FE02A7"/>
    <w:rsid w:val="00FE15AA"/>
    <w:rsid w:val="00FE23DE"/>
    <w:rsid w:val="00FE2F6B"/>
    <w:rsid w:val="00FE4F9C"/>
    <w:rsid w:val="00FE5F66"/>
    <w:rsid w:val="00FE60B7"/>
    <w:rsid w:val="00FE6746"/>
    <w:rsid w:val="00FE7243"/>
    <w:rsid w:val="00FE73F1"/>
    <w:rsid w:val="00FF083B"/>
    <w:rsid w:val="00FF0E54"/>
    <w:rsid w:val="00FF1165"/>
    <w:rsid w:val="00FF2863"/>
    <w:rsid w:val="00FF2AA2"/>
    <w:rsid w:val="00FF313E"/>
    <w:rsid w:val="00FF3FAA"/>
    <w:rsid w:val="07534E59"/>
    <w:rsid w:val="0915200A"/>
    <w:rsid w:val="0C9B1274"/>
    <w:rsid w:val="0ED43ABB"/>
    <w:rsid w:val="18267CA4"/>
    <w:rsid w:val="21A37D88"/>
    <w:rsid w:val="2387635C"/>
    <w:rsid w:val="28377B5E"/>
    <w:rsid w:val="297262DD"/>
    <w:rsid w:val="30233649"/>
    <w:rsid w:val="303846B8"/>
    <w:rsid w:val="35D96179"/>
    <w:rsid w:val="36A76D20"/>
    <w:rsid w:val="38870E3C"/>
    <w:rsid w:val="440A1978"/>
    <w:rsid w:val="476F264C"/>
    <w:rsid w:val="4B4D50B5"/>
    <w:rsid w:val="534E7B7B"/>
    <w:rsid w:val="55D70A0E"/>
    <w:rsid w:val="5CC956C3"/>
    <w:rsid w:val="5D815B46"/>
    <w:rsid w:val="5DB06D67"/>
    <w:rsid w:val="61D4636A"/>
    <w:rsid w:val="6BA92E11"/>
    <w:rsid w:val="70A849C4"/>
    <w:rsid w:val="7D702C08"/>
    <w:rsid w:val="7F21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67"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rPr>
  </w:style>
  <w:style w:type="paragraph" w:styleId="3">
    <w:name w:val="index 8"/>
    <w:basedOn w:val="1"/>
    <w:next w:val="1"/>
    <w:qFormat/>
    <w:uiPriority w:val="0"/>
    <w:pPr>
      <w:widowControl w:val="0"/>
      <w:ind w:left="1680" w:hanging="210"/>
      <w:jc w:val="left"/>
    </w:pPr>
    <w:rPr>
      <w:rFonts w:ascii="Calibri" w:hAnsi="Calibri"/>
      <w:sz w:val="20"/>
      <w:szCs w:val="20"/>
    </w:rPr>
  </w:style>
  <w:style w:type="paragraph" w:styleId="4">
    <w:name w:val="caption"/>
    <w:basedOn w:val="1"/>
    <w:next w:val="1"/>
    <w:qFormat/>
    <w:uiPriority w:val="0"/>
    <w:pPr>
      <w:widowControl w:val="0"/>
      <w:spacing w:before="152" w:after="160"/>
    </w:pPr>
    <w:rPr>
      <w:rFonts w:ascii="Arial" w:hAnsi="Arial" w:eastAsia="黑体" w:cs="Arial"/>
      <w:sz w:val="20"/>
      <w:szCs w:val="20"/>
    </w:rPr>
  </w:style>
  <w:style w:type="paragraph" w:styleId="5">
    <w:name w:val="index 5"/>
    <w:basedOn w:val="1"/>
    <w:next w:val="1"/>
    <w:qFormat/>
    <w:uiPriority w:val="0"/>
    <w:pPr>
      <w:widowControl w:val="0"/>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3"/>
    <w:semiHidden/>
    <w:unhideWhenUsed/>
    <w:qFormat/>
    <w:uiPriority w:val="0"/>
    <w:pPr>
      <w:jc w:val="left"/>
    </w:pPr>
  </w:style>
  <w:style w:type="paragraph" w:styleId="8">
    <w:name w:val="index 6"/>
    <w:basedOn w:val="1"/>
    <w:next w:val="1"/>
    <w:qFormat/>
    <w:uiPriority w:val="0"/>
    <w:pPr>
      <w:widowControl w:val="0"/>
      <w:ind w:left="1260" w:hanging="210"/>
      <w:jc w:val="left"/>
    </w:pPr>
    <w:rPr>
      <w:rFonts w:ascii="Calibri" w:hAnsi="Calibri"/>
      <w:sz w:val="20"/>
      <w:szCs w:val="20"/>
    </w:rPr>
  </w:style>
  <w:style w:type="paragraph" w:styleId="9">
    <w:name w:val="index 4"/>
    <w:basedOn w:val="1"/>
    <w:next w:val="1"/>
    <w:qFormat/>
    <w:uiPriority w:val="0"/>
    <w:pPr>
      <w:widowControl w:val="0"/>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rPr>
  </w:style>
  <w:style w:type="paragraph" w:styleId="11">
    <w:name w:val="toc 3"/>
    <w:basedOn w:val="1"/>
    <w:next w:val="1"/>
    <w:semiHidden/>
    <w:qFormat/>
    <w:uiPriority w:val="0"/>
    <w:pPr>
      <w:tabs>
        <w:tab w:val="right" w:leader="dot" w:pos="9241"/>
      </w:tabs>
      <w:ind w:firstLine="102" w:firstLineChars="100"/>
      <w:jc w:val="left"/>
    </w:pPr>
    <w:rPr>
      <w:rFonts w:ascii="宋体"/>
    </w:rPr>
  </w:style>
  <w:style w:type="paragraph" w:styleId="12">
    <w:name w:val="toc 8"/>
    <w:basedOn w:val="1"/>
    <w:next w:val="1"/>
    <w:semiHidden/>
    <w:qFormat/>
    <w:uiPriority w:val="0"/>
    <w:pPr>
      <w:tabs>
        <w:tab w:val="right" w:leader="dot" w:pos="9241"/>
      </w:tabs>
      <w:ind w:firstLine="607" w:firstLineChars="600"/>
      <w:jc w:val="left"/>
    </w:pPr>
    <w:rPr>
      <w:rFonts w:ascii="宋体"/>
    </w:rPr>
  </w:style>
  <w:style w:type="paragraph" w:styleId="13">
    <w:name w:val="index 3"/>
    <w:basedOn w:val="1"/>
    <w:next w:val="1"/>
    <w:qFormat/>
    <w:uiPriority w:val="0"/>
    <w:pPr>
      <w:widowControl w:val="0"/>
      <w:ind w:left="630" w:hanging="210"/>
      <w:jc w:val="left"/>
    </w:pPr>
    <w:rPr>
      <w:rFonts w:ascii="Calibri" w:hAnsi="Calibri"/>
      <w:sz w:val="20"/>
      <w:szCs w:val="20"/>
    </w:rPr>
  </w:style>
  <w:style w:type="paragraph" w:styleId="14">
    <w:name w:val="Date"/>
    <w:basedOn w:val="1"/>
    <w:next w:val="1"/>
    <w:link w:val="140"/>
    <w:semiHidden/>
    <w:unhideWhenUsed/>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37"/>
    <w:qFormat/>
    <w:uiPriority w:val="0"/>
    <w:pPr>
      <w:widowControl w:val="0"/>
    </w:pPr>
    <w:rPr>
      <w:sz w:val="18"/>
      <w:szCs w:val="18"/>
    </w:rPr>
  </w:style>
  <w:style w:type="paragraph" w:styleId="17">
    <w:name w:val="footer"/>
    <w:basedOn w:val="1"/>
    <w:link w:val="145"/>
    <w:qFormat/>
    <w:uiPriority w:val="99"/>
    <w:pPr>
      <w:widowControl w:val="0"/>
      <w:snapToGrid w:val="0"/>
      <w:ind w:right="210" w:rightChars="100"/>
      <w:jc w:val="right"/>
    </w:pPr>
    <w:rPr>
      <w:sz w:val="18"/>
      <w:szCs w:val="18"/>
    </w:rPr>
  </w:style>
  <w:style w:type="paragraph" w:styleId="18">
    <w:name w:val="header"/>
    <w:basedOn w:val="1"/>
    <w:qFormat/>
    <w:uiPriority w:val="0"/>
    <w:pPr>
      <w:widowControl w:val="0"/>
      <w:snapToGrid w:val="0"/>
      <w:jc w:val="left"/>
    </w:pPr>
    <w:rPr>
      <w:sz w:val="18"/>
      <w:szCs w:val="18"/>
    </w:rPr>
  </w:style>
  <w:style w:type="paragraph" w:styleId="19">
    <w:name w:val="toc 1"/>
    <w:basedOn w:val="1"/>
    <w:next w:val="1"/>
    <w:qFormat/>
    <w:uiPriority w:val="39"/>
    <w:pPr>
      <w:widowControl w:val="0"/>
      <w:tabs>
        <w:tab w:val="right" w:leader="dot" w:pos="9241"/>
      </w:tabs>
      <w:spacing w:beforeLines="25" w:afterLines="25"/>
      <w:jc w:val="left"/>
    </w:pPr>
    <w:rPr>
      <w:rFonts w:ascii="宋体"/>
    </w:rPr>
  </w:style>
  <w:style w:type="paragraph" w:styleId="20">
    <w:name w:val="toc 4"/>
    <w:basedOn w:val="1"/>
    <w:next w:val="1"/>
    <w:semiHidden/>
    <w:qFormat/>
    <w:uiPriority w:val="0"/>
    <w:pPr>
      <w:tabs>
        <w:tab w:val="right" w:leader="dot" w:pos="9241"/>
      </w:tabs>
      <w:ind w:firstLine="198" w:firstLineChars="200"/>
      <w:jc w:val="left"/>
    </w:pPr>
    <w:rPr>
      <w:rFonts w:ascii="宋体"/>
    </w:rPr>
  </w:style>
  <w:style w:type="paragraph" w:styleId="21">
    <w:name w:val="index heading"/>
    <w:basedOn w:val="1"/>
    <w:next w:val="22"/>
    <w:qFormat/>
    <w:uiPriority w:val="0"/>
    <w:pPr>
      <w:widowControl w:val="0"/>
      <w:spacing w:before="120" w:after="120"/>
      <w:jc w:val="center"/>
    </w:pPr>
    <w:rPr>
      <w:rFonts w:ascii="Calibri" w:hAnsi="Calibri"/>
      <w:b/>
      <w:bCs/>
      <w:iCs/>
      <w:szCs w:val="20"/>
    </w:rPr>
  </w:style>
  <w:style w:type="paragraph" w:styleId="22">
    <w:name w:val="index 1"/>
    <w:basedOn w:val="1"/>
    <w:next w:val="23"/>
    <w:qFormat/>
    <w:uiPriority w:val="0"/>
    <w:pPr>
      <w:widowControl w:val="0"/>
      <w:tabs>
        <w:tab w:val="right" w:leader="dot" w:pos="9299"/>
      </w:tabs>
      <w:jc w:val="left"/>
    </w:pPr>
    <w:rPr>
      <w:rFonts w:ascii="宋体"/>
    </w:rPr>
  </w:style>
  <w:style w:type="paragraph" w:customStyle="1" w:styleId="23">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widowControl w:val="0"/>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rPr>
  </w:style>
  <w:style w:type="paragraph" w:styleId="26">
    <w:name w:val="index 7"/>
    <w:basedOn w:val="1"/>
    <w:next w:val="1"/>
    <w:qFormat/>
    <w:uiPriority w:val="0"/>
    <w:pPr>
      <w:widowControl w:val="0"/>
      <w:ind w:left="1470" w:hanging="210"/>
      <w:jc w:val="left"/>
    </w:pPr>
    <w:rPr>
      <w:rFonts w:ascii="Calibri" w:hAnsi="Calibri"/>
      <w:sz w:val="20"/>
      <w:szCs w:val="20"/>
    </w:rPr>
  </w:style>
  <w:style w:type="paragraph" w:styleId="27">
    <w:name w:val="index 9"/>
    <w:basedOn w:val="1"/>
    <w:next w:val="1"/>
    <w:qFormat/>
    <w:uiPriority w:val="0"/>
    <w:pPr>
      <w:widowControl w:val="0"/>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widowControl w:val="0"/>
      <w:ind w:left="420" w:hanging="210"/>
      <w:jc w:val="left"/>
    </w:pPr>
    <w:rPr>
      <w:rFonts w:ascii="Calibri" w:hAnsi="Calibri"/>
      <w:sz w:val="20"/>
      <w:szCs w:val="20"/>
    </w:rPr>
  </w:style>
  <w:style w:type="paragraph" w:styleId="31">
    <w:name w:val="annotation subject"/>
    <w:basedOn w:val="7"/>
    <w:next w:val="7"/>
    <w:link w:val="144"/>
    <w:semiHidden/>
    <w:unhideWhenUsed/>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annotation reference"/>
    <w:basedOn w:val="34"/>
    <w:semiHidden/>
    <w:unhideWhenUsed/>
    <w:qFormat/>
    <w:uiPriority w:val="0"/>
    <w:rPr>
      <w:sz w:val="21"/>
      <w:szCs w:val="21"/>
    </w:rPr>
  </w:style>
  <w:style w:type="character" w:styleId="40">
    <w:name w:val="footnote reference"/>
    <w:semiHidden/>
    <w:qFormat/>
    <w:uiPriority w:val="0"/>
    <w:rPr>
      <w:vertAlign w:val="superscript"/>
    </w:rPr>
  </w:style>
  <w:style w:type="character" w:customStyle="1" w:styleId="41">
    <w:name w:val="段 Char"/>
    <w:link w:val="23"/>
    <w:qFormat/>
    <w:uiPriority w:val="99"/>
    <w:rPr>
      <w:rFonts w:ascii="宋体"/>
      <w:sz w:val="21"/>
      <w:lang w:val="en-US" w:eastAsia="zh-CN" w:bidi="ar-SA"/>
    </w:rPr>
  </w:style>
  <w:style w:type="paragraph" w:customStyle="1" w:styleId="42">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numPr>
        <w:ilvl w:val="0"/>
        <w:numId w:val="0"/>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numPr>
        <w:ilvl w:val="4"/>
        <w:numId w:val="2"/>
      </w:numPr>
      <w:outlineLvl w:val="5"/>
    </w:pPr>
  </w:style>
  <w:style w:type="paragraph" w:customStyle="1" w:styleId="56">
    <w:name w:val="五级条标题"/>
    <w:basedOn w:val="55"/>
    <w:next w:val="23"/>
    <w:qFormat/>
    <w:uiPriority w:val="0"/>
    <w:pPr>
      <w:numPr>
        <w:ilvl w:val="5"/>
      </w:numPr>
      <w:outlineLvl w:val="6"/>
    </w:pPr>
  </w:style>
  <w:style w:type="paragraph" w:customStyle="1" w:styleId="57">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widowControl w:val="0"/>
      <w:numPr>
        <w:ilvl w:val="2"/>
        <w:numId w:val="3"/>
      </w:numPr>
    </w:pPr>
    <w:rPr>
      <w:rFonts w:ascii="宋体"/>
    </w:rPr>
  </w:style>
  <w:style w:type="paragraph" w:customStyle="1" w:styleId="61">
    <w:name w:val="编号列项（三级）"/>
    <w:qFormat/>
    <w:uiPriority w:val="0"/>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ind w:left="0"/>
    </w:pPr>
    <w:rPr>
      <w:rFonts w:ascii="宋体" w:eastAsia="宋体"/>
    </w:rPr>
  </w:style>
  <w:style w:type="paragraph" w:customStyle="1" w:styleId="64">
    <w:name w:val="注：（正文）"/>
    <w:basedOn w:val="57"/>
    <w:next w:val="23"/>
    <w:qFormat/>
    <w:uiPriority w:val="0"/>
    <w:pPr>
      <w:numPr>
        <w:ilvl w:val="0"/>
        <w:numId w:val="9"/>
      </w:numPr>
    </w:pPr>
  </w:style>
  <w:style w:type="paragraph" w:customStyle="1" w:styleId="65">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qFormat/>
    <w:uiPriority w:val="0"/>
    <w:pPr>
      <w:keepNext/>
      <w:pageBreakBefore/>
      <w:shd w:val="clear" w:color="FFFFFF" w:fill="FFFFFF"/>
      <w:spacing w:before="640" w:after="200"/>
      <w:jc w:val="center"/>
      <w:outlineLvl w:val="0"/>
    </w:pPr>
    <w:rPr>
      <w:rFonts w:ascii="黑体" w:eastAsia="黑体"/>
      <w:kern w:val="0"/>
      <w:szCs w:val="20"/>
    </w:rPr>
  </w:style>
  <w:style w:type="character" w:customStyle="1" w:styleId="73">
    <w:name w:val="发布"/>
    <w:qFormat/>
    <w:uiPriority w:val="0"/>
    <w:rPr>
      <w:rFonts w:ascii="黑体" w:eastAsia="黑体"/>
      <w:spacing w:val="85"/>
      <w:w w:val="100"/>
      <w:position w:val="3"/>
      <w:sz w:val="28"/>
      <w:szCs w:val="28"/>
    </w:rPr>
  </w:style>
  <w:style w:type="paragraph" w:customStyle="1" w:styleId="7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qFormat/>
    <w:uiPriority w:val="0"/>
    <w:pPr>
      <w:keepNext/>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qFormat/>
    <w:uiPriority w:val="0"/>
    <w:pPr>
      <w:ind w:firstLine="0" w:firstLineChars="0"/>
      <w:jc w:val="center"/>
    </w:pPr>
    <w:rPr>
      <w:rFonts w:ascii="黑体" w:eastAsia="黑体"/>
    </w:rPr>
  </w:style>
  <w:style w:type="paragraph" w:customStyle="1" w:styleId="86">
    <w:name w:val="附录表标号"/>
    <w:basedOn w:val="1"/>
    <w:next w:val="23"/>
    <w:qFormat/>
    <w:uiPriority w:val="0"/>
    <w:pPr>
      <w:widowControl w:val="0"/>
      <w:numPr>
        <w:ilvl w:val="0"/>
        <w:numId w:val="12"/>
      </w:numPr>
      <w:tabs>
        <w:tab w:val="clear" w:pos="0"/>
      </w:tabs>
      <w:spacing w:line="14" w:lineRule="exact"/>
      <w:ind w:left="811" w:hanging="448"/>
      <w:jc w:val="center"/>
      <w:outlineLvl w:val="0"/>
    </w:pPr>
    <w:rPr>
      <w:color w:val="FFFFFF"/>
      <w:szCs w:val="24"/>
    </w:rPr>
  </w:style>
  <w:style w:type="paragraph" w:customStyle="1" w:styleId="87">
    <w:name w:val="附录表标题"/>
    <w:basedOn w:val="1"/>
    <w:next w:val="23"/>
    <w:qFormat/>
    <w:uiPriority w:val="0"/>
    <w:pPr>
      <w:widowControl w:val="0"/>
      <w:numPr>
        <w:ilvl w:val="1"/>
        <w:numId w:val="12"/>
      </w:numPr>
      <w:tabs>
        <w:tab w:val="left" w:pos="180"/>
      </w:tabs>
      <w:spacing w:beforeLines="50" w:afterLines="50"/>
      <w:ind w:left="0" w:firstLine="0"/>
      <w:jc w:val="center"/>
    </w:pPr>
    <w:rPr>
      <w:rFonts w:ascii="黑体" w:eastAsia="黑体"/>
    </w:rPr>
  </w:style>
  <w:style w:type="paragraph" w:customStyle="1" w:styleId="88">
    <w:name w:val="附录二级条标题"/>
    <w:basedOn w:val="1"/>
    <w:next w:val="23"/>
    <w:qFormat/>
    <w:uiPriority w:val="0"/>
    <w:pPr>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3"/>
    <w:qFormat/>
    <w:uiPriority w:val="0"/>
    <w:pPr>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6">
    <w:name w:val="附录四级条标题"/>
    <w:basedOn w:val="93"/>
    <w:next w:val="23"/>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numPr>
        <w:ilvl w:val="0"/>
        <w:numId w:val="14"/>
      </w:numPr>
      <w:spacing w:line="14" w:lineRule="exact"/>
      <w:ind w:left="0" w:firstLine="363"/>
      <w:jc w:val="center"/>
      <w:outlineLvl w:val="0"/>
    </w:pPr>
    <w:rPr>
      <w:color w:val="FFFFFF"/>
      <w:szCs w:val="24"/>
    </w:rPr>
  </w:style>
  <w:style w:type="paragraph" w:customStyle="1" w:styleId="99">
    <w:name w:val="附录图标题"/>
    <w:basedOn w:val="1"/>
    <w:next w:val="23"/>
    <w:qFormat/>
    <w:uiPriority w:val="0"/>
    <w:pPr>
      <w:widowControl w:val="0"/>
      <w:numPr>
        <w:ilvl w:val="1"/>
        <w:numId w:val="14"/>
      </w:numPr>
      <w:tabs>
        <w:tab w:val="left" w:pos="363"/>
      </w:tabs>
      <w:spacing w:beforeLines="50" w:afterLines="50"/>
      <w:ind w:left="0" w:firstLine="0"/>
      <w:jc w:val="center"/>
    </w:pPr>
    <w:rPr>
      <w:rFonts w:ascii="黑体" w:eastAsia="黑体"/>
    </w:rPr>
  </w:style>
  <w:style w:type="paragraph" w:customStyle="1" w:styleId="100">
    <w:name w:val="附录五级条标题"/>
    <w:basedOn w:val="96"/>
    <w:next w:val="23"/>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3"/>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6">
    <w:name w:val="列项说明"/>
    <w:basedOn w:val="1"/>
    <w:qFormat/>
    <w:uiPriority w:val="0"/>
    <w:pPr>
      <w:widowControl w:val="0"/>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basedOn w:val="75"/>
    <w:qFormat/>
    <w:uiPriority w:val="0"/>
    <w:pPr>
      <w:framePr w:wrap="around" w:vAnchor="page" w:hAnchor="text"/>
      <w:jc w:val="right"/>
    </w:p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7">
    <w:name w:val="首示例 Char"/>
    <w:link w:val="116"/>
    <w:qFormat/>
    <w:uiPriority w:val="0"/>
    <w:rPr>
      <w:rFonts w:ascii="宋体" w:hAnsi="宋体"/>
      <w:kern w:val="2"/>
      <w:sz w:val="18"/>
      <w:szCs w:val="18"/>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4"/>
    <w:qFormat/>
    <w:uiPriority w:val="0"/>
    <w:pPr>
      <w:numPr>
        <w:numId w:val="0"/>
      </w:numPr>
      <w:jc w:val="both"/>
    </w:pPr>
  </w:style>
  <w:style w:type="paragraph" w:customStyle="1" w:styleId="120">
    <w:name w:val="图标脚注说明"/>
    <w:basedOn w:val="23"/>
    <w:qFormat/>
    <w:uiPriority w:val="0"/>
    <w:pPr>
      <w:ind w:left="840" w:hanging="420" w:firstLineChars="0"/>
    </w:pPr>
    <w:rPr>
      <w:sz w:val="18"/>
      <w:szCs w:val="18"/>
    </w:rPr>
  </w:style>
  <w:style w:type="paragraph" w:customStyle="1" w:styleId="121">
    <w:name w:val="图表脚注说明"/>
    <w:basedOn w:val="1"/>
    <w:qFormat/>
    <w:uiPriority w:val="0"/>
    <w:pPr>
      <w:widowControl w:val="0"/>
      <w:numPr>
        <w:ilvl w:val="0"/>
        <w:numId w:val="16"/>
      </w:numPr>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paragraph" w:customStyle="1" w:styleId="126">
    <w:name w:val="正文表标题"/>
    <w:next w:val="23"/>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widowControl w:val="0"/>
    </w:pPr>
    <w:rPr>
      <w:szCs w:val="24"/>
    </w:rPr>
  </w:style>
  <w:style w:type="paragraph" w:customStyle="1" w:styleId="130">
    <w:name w:val="其他发布日期"/>
    <w:basedOn w:val="75"/>
    <w:qFormat/>
    <w:uiPriority w:val="0"/>
    <w:pPr>
      <w:framePr w:wrap="around" w:vAnchor="page" w:hAnchor="text" w:x="1419"/>
    </w:p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character" w:customStyle="1" w:styleId="137">
    <w:name w:val="批注框文本 字符"/>
    <w:link w:val="16"/>
    <w:qFormat/>
    <w:uiPriority w:val="0"/>
    <w:rPr>
      <w:kern w:val="2"/>
      <w:sz w:val="18"/>
      <w:szCs w:val="18"/>
    </w:rPr>
  </w:style>
  <w:style w:type="paragraph" w:customStyle="1" w:styleId="138">
    <w:name w:val="表头"/>
    <w:basedOn w:val="1"/>
    <w:qFormat/>
    <w:uiPriority w:val="0"/>
    <w:pPr>
      <w:widowControl w:val="0"/>
      <w:jc w:val="center"/>
    </w:pPr>
    <w:rPr>
      <w:rFonts w:ascii="宋体" w:hAnsi="宋体"/>
      <w:b/>
      <w:bCs/>
      <w:sz w:val="18"/>
      <w:szCs w:val="24"/>
    </w:rPr>
  </w:style>
  <w:style w:type="paragraph" w:customStyle="1" w:styleId="139">
    <w:name w:val="表体"/>
    <w:basedOn w:val="1"/>
    <w:qFormat/>
    <w:uiPriority w:val="0"/>
    <w:pPr>
      <w:widowControl w:val="0"/>
      <w:jc w:val="left"/>
    </w:pPr>
    <w:rPr>
      <w:sz w:val="18"/>
      <w:szCs w:val="24"/>
    </w:rPr>
  </w:style>
  <w:style w:type="character" w:customStyle="1" w:styleId="140">
    <w:name w:val="日期 字符"/>
    <w:basedOn w:val="34"/>
    <w:link w:val="14"/>
    <w:semiHidden/>
    <w:qFormat/>
    <w:uiPriority w:val="0"/>
    <w:rPr>
      <w:kern w:val="2"/>
      <w:sz w:val="21"/>
      <w:szCs w:val="24"/>
    </w:rPr>
  </w:style>
  <w:style w:type="paragraph" w:styleId="141">
    <w:name w:val="List Paragraph"/>
    <w:basedOn w:val="1"/>
    <w:qFormat/>
    <w:uiPriority w:val="72"/>
    <w:pPr>
      <w:widowControl w:val="0"/>
      <w:ind w:firstLine="420" w:firstLineChars="200"/>
    </w:pPr>
    <w:rPr>
      <w:szCs w:val="24"/>
    </w:rPr>
  </w:style>
  <w:style w:type="character" w:styleId="142">
    <w:name w:val="Placeholder Text"/>
    <w:basedOn w:val="34"/>
    <w:semiHidden/>
    <w:qFormat/>
    <w:uiPriority w:val="67"/>
    <w:rPr>
      <w:color w:val="808080"/>
    </w:rPr>
  </w:style>
  <w:style w:type="character" w:customStyle="1" w:styleId="143">
    <w:name w:val="批注文字 字符"/>
    <w:basedOn w:val="34"/>
    <w:link w:val="7"/>
    <w:semiHidden/>
    <w:qFormat/>
    <w:uiPriority w:val="0"/>
    <w:rPr>
      <w:kern w:val="2"/>
      <w:sz w:val="21"/>
      <w:szCs w:val="21"/>
    </w:rPr>
  </w:style>
  <w:style w:type="character" w:customStyle="1" w:styleId="144">
    <w:name w:val="批注主题 字符"/>
    <w:basedOn w:val="143"/>
    <w:link w:val="31"/>
    <w:semiHidden/>
    <w:qFormat/>
    <w:uiPriority w:val="0"/>
    <w:rPr>
      <w:b/>
      <w:bCs/>
      <w:kern w:val="2"/>
      <w:sz w:val="21"/>
      <w:szCs w:val="21"/>
    </w:rPr>
  </w:style>
  <w:style w:type="character" w:customStyle="1" w:styleId="145">
    <w:name w:val="页脚 字符"/>
    <w:basedOn w:val="34"/>
    <w:link w:val="17"/>
    <w:qFormat/>
    <w:uiPriority w:val="99"/>
    <w:rPr>
      <w:kern w:val="2"/>
      <w:sz w:val="18"/>
      <w:szCs w:val="18"/>
    </w:rPr>
  </w:style>
  <w:style w:type="paragraph" w:customStyle="1" w:styleId="14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971F1-7886-4D16-B4FD-7B74F6C59A5F}">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13</Pages>
  <Words>4149</Words>
  <Characters>5251</Characters>
  <Lines>112</Lines>
  <Paragraphs>31</Paragraphs>
  <TotalTime>427</TotalTime>
  <ScaleCrop>false</ScaleCrop>
  <LinksUpToDate>false</LinksUpToDate>
  <CharactersWithSpaces>15216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2023-03-28T08:13:00Z</dcterms:created>
  <dc:creator>CNIS</dc:creator>
  <cp:lastModifiedBy>种美丽</cp:lastModifiedBy>
  <cp:lastPrinted>2023-07-27T05:45:36Z</cp:lastPrinted>
  <dcterms:modified xsi:type="dcterms:W3CDTF">2023-07-27T05:46:41Z</dcterms:modified>
  <dc:title>标准名称</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D3A86903830E4891A9A46AB002709ACB_13</vt:lpwstr>
  </property>
</Properties>
</file>