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topLinePunct/>
        <w:autoSpaceDE w:val="0"/>
        <w:autoSpaceDN w:val="0"/>
        <w:jc w:val="center"/>
        <w:rPr>
          <w:rFonts w:hint="eastAsia" w:ascii="华文中宋" w:hAnsi="华文中宋" w:eastAsia="华文中宋" w:cs="Times New Roman"/>
          <w:b/>
          <w:bCs/>
          <w:sz w:val="36"/>
          <w:szCs w:val="36"/>
        </w:rPr>
      </w:pPr>
    </w:p>
    <w:p>
      <w:pPr>
        <w:overflowPunct w:val="0"/>
        <w:topLinePunct/>
        <w:autoSpaceDE w:val="0"/>
        <w:autoSpaceDN w:val="0"/>
        <w:jc w:val="center"/>
        <w:rPr>
          <w:rFonts w:hint="eastAsia" w:ascii="华文中宋" w:hAnsi="华文中宋" w:eastAsia="华文中宋" w:cs="Times New Roman"/>
          <w:b/>
          <w:bCs/>
          <w:sz w:val="36"/>
          <w:szCs w:val="36"/>
        </w:rPr>
      </w:pPr>
      <w:r>
        <w:rPr>
          <w:rFonts w:hint="eastAsia" w:ascii="华文中宋" w:hAnsi="华文中宋" w:eastAsia="华文中宋" w:cs="Times New Roman"/>
          <w:b/>
          <w:bCs/>
          <w:sz w:val="36"/>
          <w:szCs w:val="36"/>
        </w:rPr>
        <w:t>《智慧牧场机械化建设指南  第</w:t>
      </w:r>
      <w:r>
        <w:rPr>
          <w:rFonts w:hint="eastAsia" w:ascii="华文中宋" w:hAnsi="华文中宋" w:eastAsia="华文中宋" w:cs="Times New Roman"/>
          <w:b/>
          <w:bCs/>
          <w:sz w:val="36"/>
          <w:szCs w:val="36"/>
          <w:lang w:val="en-US" w:eastAsia="zh-CN"/>
        </w:rPr>
        <w:t>2</w:t>
      </w:r>
      <w:r>
        <w:rPr>
          <w:rFonts w:hint="eastAsia" w:ascii="华文中宋" w:hAnsi="华文中宋" w:eastAsia="华文中宋" w:cs="Times New Roman"/>
          <w:b/>
          <w:bCs/>
          <w:sz w:val="36"/>
          <w:szCs w:val="36"/>
        </w:rPr>
        <w:t>部分：养鸡场》</w:t>
      </w:r>
    </w:p>
    <w:p>
      <w:pPr>
        <w:overflowPunct w:val="0"/>
        <w:topLinePunct/>
        <w:autoSpaceDE w:val="0"/>
        <w:autoSpaceDN w:val="0"/>
        <w:jc w:val="center"/>
        <w:rPr>
          <w:rFonts w:hint="eastAsia" w:ascii="华文中宋" w:hAnsi="华文中宋" w:eastAsia="华文中宋" w:cs="Times New Roman"/>
          <w:b/>
          <w:bCs/>
          <w:sz w:val="36"/>
          <w:szCs w:val="36"/>
        </w:rPr>
      </w:pPr>
      <w:r>
        <w:rPr>
          <w:rFonts w:hint="eastAsia" w:ascii="华文中宋" w:hAnsi="华文中宋" w:eastAsia="华文中宋" w:cs="Times New Roman"/>
          <w:b/>
          <w:bCs/>
          <w:sz w:val="36"/>
          <w:szCs w:val="36"/>
        </w:rPr>
        <w:t>农业行业标准编制说明</w:t>
      </w:r>
      <w:r>
        <w:rPr>
          <w:rFonts w:ascii="华文中宋" w:hAnsi="华文中宋" w:eastAsia="华文中宋" w:cs="Times New Roman"/>
          <w:b/>
          <w:bCs/>
          <w:sz w:val="36"/>
          <w:szCs w:val="36"/>
        </w:rPr>
        <w:br w:type="textWrapping"/>
      </w:r>
    </w:p>
    <w:p>
      <w:pPr>
        <w:pStyle w:val="3"/>
        <w:spacing w:before="0" w:after="0" w:line="240" w:lineRule="auto"/>
        <w:ind w:firstLine="640" w:firstLineChars="200"/>
        <w:rPr>
          <w:rFonts w:hint="eastAsia" w:ascii="黑体" w:hAnsi="黑体" w:eastAsia="黑体" w:cs="黑体"/>
          <w:b w:val="0"/>
        </w:rPr>
      </w:pPr>
      <w:r>
        <w:rPr>
          <w:rFonts w:hint="eastAsia" w:ascii="黑体" w:hAnsi="黑体" w:eastAsia="黑体" w:cs="黑体"/>
          <w:b w:val="0"/>
        </w:rPr>
        <w:t>一、工作简况</w:t>
      </w:r>
    </w:p>
    <w:p>
      <w:pPr>
        <w:pStyle w:val="4"/>
        <w:spacing w:before="0" w:after="0" w:line="240" w:lineRule="auto"/>
        <w:ind w:firstLine="642" w:firstLineChars="200"/>
        <w:rPr>
          <w:rFonts w:hint="eastAsia" w:ascii="楷体_GB2312" w:hAnsi="楷体_GB2312" w:eastAsia="楷体_GB2312" w:cs="楷体_GB2312"/>
        </w:rPr>
      </w:pPr>
      <w:r>
        <w:rPr>
          <w:rFonts w:hint="eastAsia" w:ascii="楷体_GB2312" w:hAnsi="楷体_GB2312" w:eastAsia="楷体_GB2312" w:cs="楷体_GB2312"/>
        </w:rPr>
        <w:t>（一）任务来源</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根据农业农村部农产品质量安全监管司《关于下达 2024年农业国家和行业标准制修订项目计划的通知》（农质标函〔2024〕71号），农业农村部农业机械化总站牵头承担《智慧牧场机械化建设指南  第</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部分：养鸡场》农业行业标准的制定工作。参与单位：广州广兴牧业设备集团有限公司、中国农业大学、广东省农业技术推广中心、</w:t>
      </w:r>
      <w:r>
        <w:rPr>
          <w:rFonts w:hint="eastAsia" w:ascii="仿宋_GB2312" w:hAnsi="仿宋_GB2312" w:eastAsia="仿宋_GB2312" w:cs="仿宋_GB2312"/>
          <w:sz w:val="32"/>
          <w:szCs w:val="32"/>
          <w:lang w:eastAsia="zh-CN"/>
        </w:rPr>
        <w:t>全国畜牧总站、</w:t>
      </w:r>
      <w:r>
        <w:rPr>
          <w:rFonts w:hint="eastAsia" w:ascii="仿宋_GB2312" w:hAnsi="仿宋_GB2312" w:eastAsia="仿宋_GB2312" w:cs="仿宋_GB2312"/>
          <w:sz w:val="32"/>
          <w:szCs w:val="32"/>
        </w:rPr>
        <w:t>北京沃德辰龙生物科技股份有限公司、华南农业大学、南牧装备科技有限公司、清远市广生元畜牧发展有限公司。项目编号：</w:t>
      </w:r>
      <w:r>
        <w:rPr>
          <w:rFonts w:hint="eastAsia" w:ascii="仿宋_GB2312" w:hAnsi="仿宋_GB2312" w:eastAsia="仿宋_GB2312" w:cs="仿宋_GB2312"/>
          <w:color w:val="auto"/>
          <w:sz w:val="32"/>
          <w:szCs w:val="32"/>
        </w:rPr>
        <w:t>NYB-24398；</w:t>
      </w:r>
      <w:r>
        <w:rPr>
          <w:rFonts w:hint="eastAsia" w:ascii="仿宋_GB2312" w:hAnsi="仿宋_GB2312" w:eastAsia="仿宋_GB2312" w:cs="仿宋_GB2312"/>
          <w:sz w:val="32"/>
          <w:szCs w:val="32"/>
        </w:rPr>
        <w:t>业务司局：农业农村部农业机械化管理司；技术归口单位：全国农业机械标准化技术委员会农业机械化分技术委员会。</w:t>
      </w:r>
    </w:p>
    <w:p>
      <w:pPr>
        <w:pStyle w:val="4"/>
        <w:spacing w:before="0" w:after="0" w:line="240" w:lineRule="auto"/>
        <w:ind w:firstLine="642" w:firstLineChars="200"/>
        <w:rPr>
          <w:rFonts w:hint="eastAsia" w:ascii="楷体_GB2312" w:hAnsi="楷体_GB2312" w:eastAsia="楷体_GB2312" w:cs="楷体_GB2312"/>
        </w:rPr>
      </w:pPr>
      <w:r>
        <w:rPr>
          <w:rFonts w:hint="eastAsia" w:ascii="楷体_GB2312" w:hAnsi="楷体_GB2312" w:eastAsia="楷体_GB2312" w:cs="楷体_GB2312"/>
        </w:rPr>
        <w:t>（二）制定背景</w:t>
      </w:r>
    </w:p>
    <w:p>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党中央、国务院高度重视发展智慧农业。习近平总书记指出，“要用物联网、大数据等现代信息技术发展智慧农业”;“要因地制宜发展新质生产力”。2024年中央一号文件强调，持续实施数字乡村发展行动，发展智慧农业，缩小城乡“数字鸿沟”。《国务院关于加快推进农业机械化和农机装备产业转型升级的指导意见》（国发〔2018〕42号）提出，推动智慧农业示范应用。要求促进物联网、大数据、移动互联网、智能控制、卫星定位等信息技术在农机装备和农机作业上的应用。建设大田作物精准耕作、智慧养殖、园艺作物智能化生产等数字农业示范基地，推进智能农机与智慧农业、云农场建设等融合发展。</w:t>
      </w:r>
    </w:p>
    <w:p>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农业农村部关于落实中共中央国务院关于学习运用“千村示范、万村整治”工程经验有力有效推进乡村全面振兴工作部署的实施意见》（农发〔2024〕1号）提出，加快发展智慧农业。要求建设一批智慧农业引领区，推动规模化农场（牧场、渔场）数字化升级。健全智慧农业标准体系。《“十四五”全国农业机械化发展规划》（农机发〔2021〕2号）提出，推进畜禽水产养殖装备信息化、智能化，促进智慧农业示范应用。要求推动畜禽水产养殖的机械化、自动化、智能化装备应用，推进智慧牧场、智慧渔场建设。《农业农村部关于加快畜牧业机械化发展的意见》（农机发〔2019〕6号）提出，推进机械化信息化融合。要求推进“互联网+”畜牧业机械化，支持在畜禽养殖各环节重点装备上应用实时准确的信息采集和智能管控系统，支持鼓励养殖企业进行物联化、智能化设施与装备升级改造，促进畜牧设施装备使用、管理与信息化技术深度融合。</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农业农村部关于大力发展智慧农业的指导意见》（农市发〔2024〕3号）以及《全国智慧农业行动计划（2024—2028年）》（农市发〔2024〕3号）指出，智慧农业是发展现代农业的重要着力点，是建设农业强国的战略制高点，要求推进畜牧养殖智慧化，引导发展规模养殖智能化，按需集成环境精准调控、生长信息监测、疫病智能诊断防控等技术，推动精准饲喂等智能装备，加快制修订产业发展亟需的智慧农业共性关键标准与通用技术规范，鼓励企业参与标准制修订，指导各地根据种养殖品种和生产条件的实际需求，集成应用适宜的信息技术装备，因地制宜建设多样化的智慧牧场。 </w:t>
      </w:r>
    </w:p>
    <w:p>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近年来，我国畜牧业加快向标准化规模养殖绿色转型升级，</w:t>
      </w:r>
      <w:r>
        <w:rPr>
          <w:rFonts w:hint="eastAsia" w:ascii="仿宋_GB2312" w:hAnsi="宋体" w:eastAsia="仿宋_GB2312" w:cs="宋体"/>
          <w:kern w:val="0"/>
          <w:sz w:val="32"/>
          <w:szCs w:val="32"/>
        </w:rPr>
        <w:t>畜禽养殖规模化率不断提高，</w:t>
      </w:r>
      <w:r>
        <w:rPr>
          <w:rFonts w:hint="eastAsia" w:ascii="仿宋_GB2312" w:hAnsi="Times New Roman" w:eastAsia="仿宋_GB2312" w:cs="Times New Roman"/>
          <w:sz w:val="32"/>
          <w:szCs w:val="32"/>
        </w:rPr>
        <w:t>设施装备总量持续增长，机械化水平不断提升</w:t>
      </w:r>
      <w:r>
        <w:rPr>
          <w:rFonts w:hint="eastAsia" w:ascii="仿宋_GB2312" w:hAnsi="宋体" w:eastAsia="仿宋_GB2312" w:cs="宋体"/>
          <w:kern w:val="0"/>
          <w:sz w:val="32"/>
          <w:szCs w:val="32"/>
        </w:rPr>
        <w:t>，呈现稳定加快发展态势</w:t>
      </w:r>
      <w:r>
        <w:rPr>
          <w:rFonts w:hint="eastAsia" w:ascii="仿宋_GB2312" w:hAnsi="Times New Roman" w:eastAsia="仿宋_GB2312" w:cs="Times New Roman"/>
          <w:sz w:val="32"/>
          <w:szCs w:val="32"/>
        </w:rPr>
        <w:t>。随着畜禽水产规模化设施化养殖的稳步发展，急需大力发展智慧养殖，以规模养殖场为重点，利用现代信息技术装备对传统养殖业进行全方位的改造升级，实现精准调控、精准作业、精准管理，从而大幅提高劳动生产率、资源利用率、土地产出率，减少资源消耗，降低碳排放，加快推动传统养殖业向资源节约型、环境友好型现代养殖业转型升级。</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目前，养鸡场已实现集约化生产，规模养鸡场基本实现全程机械化，并向标准化、自动化方向发展。随着人工智能、物联网、大数据、云计算、新能源技术的发展，各方正积极探索智能化养鸡场建设，智慧养鸡场是传统养鸡场的重</w:t>
      </w:r>
      <w:r>
        <w:rPr>
          <w:rFonts w:hint="eastAsia" w:ascii="仿宋_GB2312" w:hAnsi="仿宋_GB2312" w:eastAsia="仿宋_GB2312" w:cs="仿宋_GB2312"/>
          <w:sz w:val="32"/>
          <w:szCs w:val="32"/>
        </w:rPr>
        <w:t>要升级和未来发展趋势。智慧养鸡场是一种利用先进技术，以智能设施装备为基础，通过数字化、智能化、无人化的方式进行生产的新型养鸡场，具有高效、节能、绿色、环保、舒适、透明等特点，是现代畜牧业发展的重要趋势。</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《智慧牧场机械化建设指南  第2部分：养鸡场》农业行业标准的制定与实施，将有助于引领推动智慧养鸡场建设，实现数字化、智能化、无人化的养鸡生产，提高生产效率和质量，降低生产成本和劳动强度，实现绿色环保和高效运营，同时提高生产过程的可追溯性，确保食品安全和质量，进一步为畜禽养殖行业带来更佳的经济效益和社会效益。</w:t>
      </w:r>
    </w:p>
    <w:p>
      <w:pPr>
        <w:pStyle w:val="4"/>
        <w:spacing w:before="0" w:after="0" w:line="240" w:lineRule="auto"/>
        <w:ind w:firstLine="642" w:firstLineChars="200"/>
        <w:rPr>
          <w:rFonts w:hint="eastAsia" w:ascii="楷体_GB2312" w:hAnsi="楷体_GB2312" w:eastAsia="楷体_GB2312" w:cs="楷体_GB2312"/>
        </w:rPr>
      </w:pPr>
      <w:r>
        <w:rPr>
          <w:rFonts w:hint="eastAsia" w:ascii="楷体_GB2312" w:hAnsi="楷体_GB2312" w:eastAsia="楷体_GB2312" w:cs="楷体_GB2312"/>
        </w:rPr>
        <w:t>（三）起草过程</w:t>
      </w:r>
    </w:p>
    <w:p>
      <w:pPr>
        <w:ind w:firstLine="642"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1.起草阶段。</w:t>
      </w:r>
      <w:r>
        <w:rPr>
          <w:rFonts w:hint="eastAsia" w:ascii="仿宋_GB2312" w:hAnsi="仿宋_GB2312" w:eastAsia="仿宋_GB2312" w:cs="仿宋_GB2312"/>
          <w:color w:val="000000"/>
          <w:sz w:val="32"/>
          <w:szCs w:val="32"/>
        </w:rPr>
        <w:t>标准制定计划下达后，项目牵头单位联合各协作单位，组织技术骨干成立标准起草工作组，研究制定了标准制修订项目实施方案，并严格按照农业行业标准制修订工作程序和要求开展标准起草工作。标准起草工作组查阅了有关资料，先后赴广东、山东、四川、河北等地开展实地调研，深入了解我国养鸡机械化发展情况与趋势，在标准草案基础上，修改形成了标准初稿。</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6月，标准起草工作组召开视频会议，标准起草工作组成员参加会议。会议对标准的功能定位、框架结构、主体内容等进行了充分讨论，并进一步修改完善，形成了标准工作组讨论稿。2024年7月，标准起草工作组在湖北武汉组织召开了专家征求意见会议，邀请有关专家对标准工作组讨论稿进行了讨论。2024年10月，标准起草工作组赴广东省清远市广生元畜牧发展有限公司在产养鸡场进行实地调研验证。结合专家意见建议和实地调研情况，标准起草工作组进一步修改完善，形成了标准征求意见稿。</w:t>
      </w:r>
    </w:p>
    <w:p>
      <w:pPr>
        <w:ind w:firstLine="642"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2.征求意见阶段。</w:t>
      </w:r>
      <w:r>
        <w:rPr>
          <w:rFonts w:hint="eastAsia" w:ascii="仿宋_GB2312" w:hAnsi="仿宋_GB2312" w:eastAsia="仿宋_GB2312" w:cs="仿宋_GB2312"/>
          <w:sz w:val="32"/>
          <w:szCs w:val="32"/>
          <w:lang w:val="en-US" w:eastAsia="zh-CN"/>
        </w:rPr>
        <w:t>2024年11月，农业农村部农业机械化总站发文，在中国农业机械化信息网上面向社会公开征求意见，同时在中国农机化和中国畜牧工程机械微信公众号发布，并组织征求中国农业机械化协会畜牧水产分会会员单位意见。</w:t>
      </w:r>
    </w:p>
    <w:p>
      <w:pPr>
        <w:pStyle w:val="4"/>
        <w:spacing w:before="0" w:after="0" w:line="240" w:lineRule="auto"/>
        <w:ind w:firstLine="642" w:firstLineChars="200"/>
        <w:rPr>
          <w:rFonts w:hint="eastAsia" w:ascii="楷体_GB2312" w:hAnsi="楷体_GB2312" w:eastAsia="楷体_GB2312" w:cs="楷体_GB2312"/>
        </w:rPr>
      </w:pPr>
      <w:r>
        <w:rPr>
          <w:rFonts w:hint="eastAsia" w:ascii="楷体_GB2312" w:hAnsi="楷体_GB2312" w:eastAsia="楷体_GB2312" w:cs="楷体_GB2312"/>
        </w:rPr>
        <w:t xml:space="preserve">（四）标准主要起草人及其所做的工作 </w:t>
      </w:r>
    </w:p>
    <w:p>
      <w:pPr>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本标准主要起草人共有1</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人</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金红伟、黄杏彪、曲桂宝、郑炜超、宋仁龙、杨雨琦、郑凯仁、樊世杰、赖文婷、张海庆、</w:t>
      </w:r>
      <w:r>
        <w:rPr>
          <w:rFonts w:hint="eastAsia" w:ascii="仿宋_GB2312" w:hAnsi="仿宋_GB2312" w:eastAsia="仿宋_GB2312" w:cs="仿宋_GB2312"/>
          <w:color w:val="000000"/>
          <w:sz w:val="32"/>
          <w:szCs w:val="32"/>
          <w:lang w:eastAsia="zh-CN"/>
        </w:rPr>
        <w:t>田建华、</w:t>
      </w:r>
      <w:r>
        <w:rPr>
          <w:rFonts w:hint="eastAsia" w:ascii="仿宋_GB2312" w:hAnsi="仿宋_GB2312" w:eastAsia="仿宋_GB2312" w:cs="仿宋_GB2312"/>
          <w:color w:val="000000"/>
          <w:sz w:val="32"/>
          <w:szCs w:val="32"/>
        </w:rPr>
        <w:t>杨龙韬、赵祚喜、陈汉清。根据任务分工，标准起草工作组成员均参与了标准前期调研、资料收集和初稿起草等工作。金红伟主要负责标准整体结构设计、</w:t>
      </w:r>
      <w:r>
        <w:rPr>
          <w:rFonts w:hint="eastAsia" w:ascii="仿宋_GB2312" w:hAnsi="仿宋_GB2312" w:eastAsia="仿宋_GB2312" w:cs="仿宋_GB2312"/>
          <w:color w:val="000000"/>
          <w:sz w:val="32"/>
          <w:szCs w:val="32"/>
          <w:lang w:eastAsia="zh-CN"/>
        </w:rPr>
        <w:t>主要技术内容确定以及征求意见汇总处理等</w:t>
      </w:r>
      <w:r>
        <w:rPr>
          <w:rFonts w:hint="eastAsia" w:ascii="仿宋_GB2312" w:hAnsi="仿宋_GB2312" w:eastAsia="仿宋_GB2312" w:cs="仿宋_GB2312"/>
          <w:color w:val="000000"/>
          <w:sz w:val="32"/>
          <w:szCs w:val="32"/>
        </w:rPr>
        <w:t>；黄杏彪、曲桂宝主要负责起草标准草案、修改形成征求意见稿和送审稿，并开展相关验证工作以及征求意见汇总处理等；郑炜超、宋仁龙、杨雨琦、郑凯仁主要负责起草标准草案、修改形成征求意见稿和送审稿，组织召开标准起草组会议和专家征求意见会议，组织公开征求意见并进行汇总处理，修改形成标准报批材料等；樊世杰、赖文婷、张海庆、</w:t>
      </w:r>
      <w:r>
        <w:rPr>
          <w:rFonts w:hint="eastAsia" w:ascii="仿宋_GB2312" w:hAnsi="仿宋_GB2312" w:eastAsia="仿宋_GB2312" w:cs="仿宋_GB2312"/>
          <w:color w:val="000000"/>
          <w:sz w:val="32"/>
          <w:szCs w:val="32"/>
          <w:lang w:eastAsia="zh-CN"/>
        </w:rPr>
        <w:t>田建华、</w:t>
      </w:r>
      <w:r>
        <w:rPr>
          <w:rFonts w:hint="eastAsia" w:ascii="仿宋_GB2312" w:hAnsi="仿宋_GB2312" w:eastAsia="仿宋_GB2312" w:cs="仿宋_GB2312"/>
          <w:color w:val="000000"/>
          <w:sz w:val="32"/>
          <w:szCs w:val="32"/>
        </w:rPr>
        <w:t>杨龙韬、赵祚喜、陈汉清主要负责参与修改完善标准征求意见稿和送审稿等工作。</w:t>
      </w:r>
    </w:p>
    <w:p>
      <w:pPr>
        <w:pStyle w:val="3"/>
        <w:spacing w:before="0" w:after="0" w:line="240" w:lineRule="auto"/>
        <w:ind w:firstLine="640" w:firstLineChars="200"/>
        <w:rPr>
          <w:rFonts w:hint="eastAsia" w:ascii="黑体" w:hAnsi="黑体" w:eastAsia="黑体" w:cs="黑体"/>
          <w:b w:val="0"/>
        </w:rPr>
      </w:pPr>
      <w:r>
        <w:rPr>
          <w:rFonts w:hint="eastAsia" w:ascii="黑体" w:hAnsi="黑体" w:eastAsia="黑体" w:cs="黑体"/>
          <w:b w:val="0"/>
        </w:rPr>
        <w:t>二、标准编制原则、主要内容及其确定依据</w:t>
      </w:r>
    </w:p>
    <w:p>
      <w:pPr>
        <w:ind w:firstLine="642"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（一）标准编制原则</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标准贯彻落实党中央、国务院有关决策部署和农业农村部有关工作要求，与现行有关法律法规和相关标准协调一致，同时符合我国养鸡场机械化现状及发展趋势。本标准遵循“科学性、实用性、统一性、规范性”的原则，本着面向市场、服务产业、自主制定、适时推出、不断完善的思路，标准主要技术内容与技术创新、试验验证、产业推进、应用推广相结合，逐步引导养鸡场向数字化、智能化、无人化和绿色化方向发展。本标准的编写格式符合《标准化工作导则  第1部分：标准化文件的结构和起草规则》（GB/T 1.1—2020）《标准编写规则  第7部分：指南标准》（GB/T 20001.7—2017）的要求。</w:t>
      </w:r>
    </w:p>
    <w:p>
      <w:pPr>
        <w:ind w:firstLine="642"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（二）标准主要内容及其确定依据</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标准主要技术内容的确定综合考虑了生产企业能力、用户效益和行业发展方向，寻求最大的经济效益和社会效益，充分体现标准在技术上的先进性和合理性以及现实中的可操作性。本标准共9章，包括范围、规范性引用文件、术语和定义、总体原则、基础设施建设、智能装备配置、数据采集、数据存储、数字化管理平台。</w:t>
      </w:r>
    </w:p>
    <w:p>
      <w:pPr>
        <w:ind w:firstLine="642"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1.范围。</w:t>
      </w:r>
      <w:r>
        <w:rPr>
          <w:rFonts w:hint="eastAsia" w:ascii="仿宋_GB2312" w:hAnsi="仿宋_GB2312" w:eastAsia="仿宋_GB2312" w:cs="仿宋_GB2312"/>
          <w:sz w:val="32"/>
          <w:szCs w:val="32"/>
        </w:rPr>
        <w:t>根据《标准编写规则  第7部分：指南标准》（GB/T 20001.7—2017）的规定，指南标准是以适当的背景知识提供某主题的普遍性、原则性、方向性的指导，或者同时给出相关建议或信息的标准。范围应对标准中的主要技术内容做出提要式的说明，指明涉及了哪些需考虑的因素，指出包含哪方面指导，给出哪些建议或信息。结合本标准的主要技术内容，规定本文件提供了智慧养鸡场机械化建设的指导，以及总体原则、</w:t>
      </w:r>
      <w:r>
        <w:rPr>
          <w:rFonts w:hint="eastAsia" w:ascii="仿宋_GB2312" w:hAnsi="仿宋_GB2312" w:eastAsia="仿宋_GB2312" w:cs="仿宋_GB2312"/>
          <w:sz w:val="32"/>
          <w:szCs w:val="32"/>
          <w:lang w:eastAsia="zh-CN"/>
        </w:rPr>
        <w:t>基础设施建设、智能装备配置、数据采集、数据存储</w:t>
      </w:r>
      <w:r>
        <w:rPr>
          <w:rFonts w:hint="eastAsia" w:ascii="仿宋_GB2312" w:hAnsi="仿宋_GB2312" w:eastAsia="仿宋_GB2312" w:cs="仿宋_GB2312"/>
          <w:sz w:val="32"/>
          <w:szCs w:val="32"/>
        </w:rPr>
        <w:t>、数字化管理平台等方面的建议，并给出了相关信息，适用于智慧养鸡场的建设。</w:t>
      </w:r>
    </w:p>
    <w:p>
      <w:pPr>
        <w:ind w:firstLine="642"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2.规范性引用文件。</w:t>
      </w:r>
      <w:r>
        <w:rPr>
          <w:rFonts w:hint="eastAsia" w:ascii="仿宋_GB2312" w:hAnsi="仿宋_GB2312" w:eastAsia="仿宋_GB2312" w:cs="仿宋_GB2312"/>
          <w:sz w:val="32"/>
          <w:szCs w:val="32"/>
        </w:rPr>
        <w:t>本章列出了本标准引用的相关行业标准。包括</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集约化养鸡场建设标准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NY/T 2969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规模化养鸡场机械装备配置规范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NY/T 3895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养鸡设备</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乳头</w:t>
      </w:r>
      <w:r>
        <w:rPr>
          <w:rFonts w:hint="eastAsia" w:ascii="仿宋_GB2312" w:hAnsi="仿宋_GB2312" w:eastAsia="仿宋_GB2312" w:cs="仿宋_GB2312"/>
          <w:sz w:val="32"/>
          <w:szCs w:val="32"/>
          <w:lang w:eastAsia="zh-CN"/>
        </w:rPr>
        <w:t>式</w:t>
      </w:r>
      <w:r>
        <w:rPr>
          <w:rFonts w:hint="eastAsia" w:ascii="仿宋_GB2312" w:hAnsi="仿宋_GB2312" w:eastAsia="仿宋_GB2312" w:cs="仿宋_GB2312"/>
          <w:sz w:val="32"/>
          <w:szCs w:val="32"/>
        </w:rPr>
        <w:t>饮水器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JB/T</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7720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养鸡设备</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鸡笼和笼架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JB/T</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7729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养鸡设备</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带式清粪机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JB/T 14281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养鸡设备</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行车喂料机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JB/T 14282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等6项行业标准，均为不注日期引用。  </w:t>
      </w:r>
    </w:p>
    <w:p>
      <w:pPr>
        <w:ind w:firstLine="642"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3.术语和定义。</w:t>
      </w:r>
      <w:r>
        <w:rPr>
          <w:rFonts w:hint="eastAsia" w:ascii="仿宋_GB2312" w:hAnsi="仿宋_GB2312" w:eastAsia="仿宋_GB2312" w:cs="仿宋_GB2312"/>
          <w:sz w:val="32"/>
          <w:szCs w:val="32"/>
        </w:rPr>
        <w:t>本章给出了为理解本标准中某些术语所必需的定义。包括智慧养鸡场、养鸡场综合信息管理平台、养鸡场管控移动操作系统等3个术语及其定义，以及《规模化养鸡场设施装备配置技术规范》（NY/T 3895）中界定的术语。</w:t>
      </w:r>
    </w:p>
    <w:p>
      <w:pPr>
        <w:ind w:firstLine="642"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4.总体原则。</w:t>
      </w:r>
      <w:r>
        <w:rPr>
          <w:rFonts w:hint="eastAsia" w:ascii="仿宋_GB2312" w:hAnsi="仿宋_GB2312" w:eastAsia="仿宋_GB2312" w:cs="仿宋_GB2312"/>
          <w:sz w:val="32"/>
          <w:szCs w:val="32"/>
        </w:rPr>
        <w:t>本章提炼总结了智慧养鸡场建设的普适性指导原则。包括智慧养鸡场的架构、数字化建设、智能化建设等方面的总体考虑。智慧养鸡场建设的基本逻辑是，养鸡场的智能设施装备负责感知信息、采集数据并具备通信功能，通过养鸡场构建的网路传输到本地服务器或云服务器，由装在服务器上的数字化管理平台汇总处理数据并做出决策，经PC显示屏、平板或手机展示，综合运用物联网、大数据、人工智能算法和模型等技术，实现养鸡全流程的管理。智慧养鸡场架构分为</w:t>
      </w:r>
      <w:r>
        <w:rPr>
          <w:rFonts w:hint="eastAsia" w:ascii="仿宋_GB2312" w:hAnsi="仿宋_GB2312" w:eastAsia="仿宋_GB2312" w:cs="仿宋_GB2312"/>
          <w:sz w:val="32"/>
          <w:szCs w:val="32"/>
          <w:lang w:eastAsia="zh-CN"/>
        </w:rPr>
        <w:t>硬件</w:t>
      </w:r>
      <w:r>
        <w:rPr>
          <w:rFonts w:hint="eastAsia" w:ascii="仿宋_GB2312" w:hAnsi="仿宋_GB2312" w:eastAsia="仿宋_GB2312" w:cs="仿宋_GB2312"/>
          <w:sz w:val="32"/>
          <w:szCs w:val="32"/>
        </w:rPr>
        <w:t>设备层、网络层、平台层和应用层，给出了架构示意图</w:t>
      </w:r>
      <w:r>
        <w:rPr>
          <w:rFonts w:hint="eastAsia" w:ascii="仿宋_GB2312" w:hAnsi="仿宋_GB2312" w:eastAsia="仿宋_GB2312" w:cs="仿宋_GB2312"/>
          <w:sz w:val="32"/>
          <w:szCs w:val="32"/>
          <w:lang w:eastAsia="zh-CN"/>
        </w:rPr>
        <w:t>，对种鸡场、蛋鸡场、肉鸡场进行了区分</w:t>
      </w:r>
      <w:r>
        <w:rPr>
          <w:rFonts w:hint="eastAsia" w:ascii="仿宋_GB2312" w:hAnsi="仿宋_GB2312" w:eastAsia="仿宋_GB2312" w:cs="仿宋_GB2312"/>
          <w:sz w:val="32"/>
          <w:szCs w:val="32"/>
        </w:rPr>
        <w:t>。智慧养鸡场建设应以提高生产效率和质量，降低生产成本和劳动强度，合理利用新能源和节约能源为导向，从养鸡全流程的数字化、智能化等方面着手进行建设。</w:t>
      </w:r>
    </w:p>
    <w:p>
      <w:pPr>
        <w:ind w:firstLine="642"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5.基础设施建设。</w:t>
      </w:r>
      <w:r>
        <w:rPr>
          <w:rFonts w:hint="eastAsia" w:ascii="仿宋_GB2312" w:hAnsi="仿宋_GB2312" w:eastAsia="仿宋_GB2312" w:cs="仿宋_GB2312"/>
          <w:sz w:val="32"/>
          <w:szCs w:val="32"/>
        </w:rPr>
        <w:t>本章给出了除养鸡场生产饲养装备以外的基础设施建设建议，包括养鸡场的选址布局、</w:t>
      </w:r>
      <w:r>
        <w:rPr>
          <w:rFonts w:hint="eastAsia" w:ascii="仿宋_GB2312" w:hAnsi="仿宋_GB2312" w:eastAsia="仿宋_GB2312" w:cs="仿宋_GB2312"/>
          <w:sz w:val="32"/>
          <w:szCs w:val="32"/>
          <w:lang w:eastAsia="zh-CN"/>
        </w:rPr>
        <w:t>建筑工程、附属设施、网络设施、视频监控设备、报警系统等</w:t>
      </w:r>
      <w:r>
        <w:rPr>
          <w:rFonts w:hint="eastAsia" w:ascii="仿宋_GB2312" w:hAnsi="仿宋_GB2312" w:eastAsia="仿宋_GB2312" w:cs="仿宋_GB2312"/>
          <w:sz w:val="32"/>
          <w:szCs w:val="32"/>
        </w:rPr>
        <w:t>。</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智慧养鸡场的场址选择、规划布局、建筑工程及附属设施参照《集约化养鸡场建设标准》（NY/T 2969）中的</w:t>
      </w:r>
      <w:r>
        <w:rPr>
          <w:rFonts w:hint="eastAsia" w:ascii="仿宋_GB2312" w:hAnsi="仿宋_GB2312" w:eastAsia="仿宋_GB2312" w:cs="仿宋_GB2312"/>
          <w:sz w:val="32"/>
          <w:szCs w:val="32"/>
          <w:lang w:eastAsia="zh-CN"/>
        </w:rPr>
        <w:t>相关</w:t>
      </w:r>
      <w:r>
        <w:rPr>
          <w:rFonts w:hint="eastAsia" w:ascii="仿宋_GB2312" w:hAnsi="仿宋_GB2312" w:eastAsia="仿宋_GB2312" w:cs="仿宋_GB2312"/>
          <w:sz w:val="32"/>
          <w:szCs w:val="32"/>
        </w:rPr>
        <w:t>规定；养鸡场</w:t>
      </w:r>
      <w:r>
        <w:rPr>
          <w:rFonts w:hint="eastAsia" w:ascii="仿宋_GB2312" w:hAnsi="仿宋_GB2312" w:eastAsia="仿宋_GB2312" w:cs="仿宋_GB2312"/>
          <w:sz w:val="32"/>
          <w:szCs w:val="32"/>
          <w:lang w:eastAsia="zh-CN"/>
        </w:rPr>
        <w:t>基础</w:t>
      </w:r>
      <w:r>
        <w:rPr>
          <w:rFonts w:hint="eastAsia" w:ascii="仿宋_GB2312" w:hAnsi="仿宋_GB2312" w:eastAsia="仿宋_GB2312" w:cs="仿宋_GB2312"/>
          <w:sz w:val="32"/>
          <w:szCs w:val="32"/>
        </w:rPr>
        <w:t>机械化</w:t>
      </w:r>
      <w:r>
        <w:rPr>
          <w:rFonts w:hint="eastAsia" w:ascii="仿宋_GB2312" w:hAnsi="仿宋_GB2312" w:eastAsia="仿宋_GB2312" w:cs="仿宋_GB2312"/>
          <w:sz w:val="32"/>
          <w:szCs w:val="32"/>
          <w:lang w:eastAsia="zh-CN"/>
        </w:rPr>
        <w:t>设施</w:t>
      </w:r>
      <w:r>
        <w:rPr>
          <w:rFonts w:hint="eastAsia" w:ascii="仿宋_GB2312" w:hAnsi="仿宋_GB2312" w:eastAsia="仿宋_GB2312" w:cs="仿宋_GB2312"/>
          <w:sz w:val="32"/>
          <w:szCs w:val="32"/>
        </w:rPr>
        <w:t>装备配置参照《规模化养鸡场机械装备配置规范》（NY/T 3895）中的</w:t>
      </w:r>
      <w:r>
        <w:rPr>
          <w:rFonts w:hint="eastAsia" w:ascii="仿宋_GB2312" w:hAnsi="仿宋_GB2312" w:eastAsia="仿宋_GB2312" w:cs="仿宋_GB2312"/>
          <w:sz w:val="32"/>
          <w:szCs w:val="32"/>
          <w:lang w:eastAsia="zh-CN"/>
        </w:rPr>
        <w:t>相关</w:t>
      </w:r>
      <w:r>
        <w:rPr>
          <w:rFonts w:hint="eastAsia" w:ascii="仿宋_GB2312" w:hAnsi="仿宋_GB2312" w:eastAsia="仿宋_GB2312" w:cs="仿宋_GB2312"/>
          <w:sz w:val="32"/>
          <w:szCs w:val="32"/>
        </w:rPr>
        <w:t>规定。</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网络设施对于智慧养鸡场至关重要，设备的通讯模块、网关、养鸡场基础网络设施（有线或无线、局域网或因特网等）、本地存储服务器或云端服务器等要充分考虑数据传输量、计算能力、存储能力</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要求，</w:t>
      </w:r>
      <w:r>
        <w:rPr>
          <w:rFonts w:hint="eastAsia" w:ascii="仿宋_GB2312" w:hAnsi="仿宋_GB2312" w:eastAsia="仿宋_GB2312" w:cs="仿宋_GB2312"/>
          <w:sz w:val="32"/>
          <w:szCs w:val="32"/>
          <w:lang w:eastAsia="zh-CN"/>
        </w:rPr>
        <w:t>具体的安全措施也给出了相应</w:t>
      </w:r>
      <w:r>
        <w:rPr>
          <w:rFonts w:hint="eastAsia" w:ascii="仿宋_GB2312" w:hAnsi="仿宋_GB2312" w:eastAsia="仿宋_GB2312" w:cs="仿宋_GB2312"/>
          <w:sz w:val="32"/>
          <w:szCs w:val="32"/>
        </w:rPr>
        <w:t>的指导性意见。</w:t>
      </w:r>
    </w:p>
    <w:p>
      <w:pPr>
        <w:ind w:firstLine="642"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6.智能装备配置。</w:t>
      </w:r>
      <w:r>
        <w:rPr>
          <w:rFonts w:hint="eastAsia" w:ascii="仿宋_GB2312" w:hAnsi="仿宋_GB2312" w:eastAsia="仿宋_GB2312" w:cs="仿宋_GB2312"/>
          <w:sz w:val="32"/>
          <w:szCs w:val="32"/>
        </w:rPr>
        <w:t>本章给出了智慧养鸡场所需生产设备的配置、技术要求和智能化相关的建议。在原有传统养鸡装备基础上增加智慧化养鸡饲养工艺所需的信息感知、数据采集、本机智能控制和远程传输功能，能够与数字化管理平台连接传输数据与指令。</w:t>
      </w:r>
    </w:p>
    <w:p>
      <w:pPr>
        <w:ind w:firstLine="642"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7.数据采集。</w:t>
      </w:r>
      <w:r>
        <w:rPr>
          <w:rFonts w:hint="eastAsia" w:ascii="仿宋_GB2312" w:hAnsi="仿宋_GB2312" w:eastAsia="仿宋_GB2312" w:cs="仿宋_GB2312"/>
          <w:sz w:val="32"/>
          <w:szCs w:val="32"/>
        </w:rPr>
        <w:t>本章给出了智慧养鸡场的数据采集</w:t>
      </w:r>
      <w:r>
        <w:rPr>
          <w:rFonts w:hint="eastAsia" w:ascii="仿宋_GB2312" w:hAnsi="仿宋_GB2312" w:eastAsia="仿宋_GB2312" w:cs="仿宋_GB2312"/>
          <w:sz w:val="32"/>
          <w:szCs w:val="32"/>
          <w:lang w:eastAsia="zh-CN"/>
        </w:rPr>
        <w:t>建议</w:t>
      </w:r>
      <w:r>
        <w:rPr>
          <w:rFonts w:hint="eastAsia" w:ascii="仿宋_GB2312" w:hAnsi="仿宋_GB2312" w:eastAsia="仿宋_GB2312" w:cs="仿宋_GB2312"/>
          <w:sz w:val="32"/>
          <w:szCs w:val="32"/>
        </w:rPr>
        <w:t>，涵盖各个饲养环节的数据采集的</w:t>
      </w:r>
      <w:r>
        <w:rPr>
          <w:rFonts w:hint="eastAsia" w:ascii="仿宋_GB2312" w:hAnsi="仿宋_GB2312" w:eastAsia="仿宋_GB2312" w:cs="仿宋_GB2312"/>
          <w:sz w:val="32"/>
          <w:szCs w:val="32"/>
          <w:lang w:eastAsia="zh-CN"/>
        </w:rPr>
        <w:t>内容</w:t>
      </w:r>
      <w:r>
        <w:rPr>
          <w:rFonts w:hint="eastAsia" w:ascii="仿宋_GB2312" w:hAnsi="仿宋_GB2312" w:eastAsia="仿宋_GB2312" w:cs="仿宋_GB2312"/>
          <w:sz w:val="32"/>
          <w:szCs w:val="32"/>
        </w:rPr>
        <w:t>和功能需求，同时也给出了数据采集的精度和</w:t>
      </w:r>
      <w:r>
        <w:rPr>
          <w:rFonts w:hint="eastAsia" w:ascii="仿宋_GB2312" w:hAnsi="仿宋_GB2312" w:eastAsia="仿宋_GB2312" w:cs="仿宋_GB2312"/>
          <w:sz w:val="32"/>
          <w:szCs w:val="32"/>
          <w:lang w:eastAsia="zh-CN"/>
        </w:rPr>
        <w:t>频率</w:t>
      </w:r>
      <w:r>
        <w:rPr>
          <w:rFonts w:hint="eastAsia" w:ascii="仿宋_GB2312" w:hAnsi="仿宋_GB2312" w:eastAsia="仿宋_GB2312" w:cs="仿宋_GB2312"/>
          <w:sz w:val="32"/>
          <w:szCs w:val="32"/>
        </w:rPr>
        <w:t>。</w:t>
      </w:r>
    </w:p>
    <w:p>
      <w:pPr>
        <w:pStyle w:val="2"/>
        <w:ind w:left="0" w:leftChars="0" w:firstLine="642"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8.数据存储。</w:t>
      </w:r>
      <w:r>
        <w:rPr>
          <w:rFonts w:hint="eastAsia" w:ascii="仿宋_GB2312" w:hAnsi="仿宋_GB2312" w:eastAsia="仿宋_GB2312" w:cs="仿宋_GB2312"/>
          <w:sz w:val="32"/>
          <w:szCs w:val="32"/>
        </w:rPr>
        <w:t>本章给出了智慧养鸡场的数据储存</w:t>
      </w:r>
      <w:r>
        <w:rPr>
          <w:rFonts w:hint="eastAsia" w:ascii="仿宋_GB2312" w:hAnsi="仿宋_GB2312" w:eastAsia="仿宋_GB2312" w:cs="仿宋_GB2312"/>
          <w:sz w:val="32"/>
          <w:szCs w:val="32"/>
          <w:lang w:eastAsia="zh-CN"/>
        </w:rPr>
        <w:t>建议</w:t>
      </w:r>
      <w:r>
        <w:rPr>
          <w:rFonts w:hint="eastAsia" w:ascii="仿宋_GB2312" w:hAnsi="仿宋_GB2312" w:eastAsia="仿宋_GB2312" w:cs="仿宋_GB2312"/>
          <w:sz w:val="32"/>
          <w:szCs w:val="32"/>
        </w:rPr>
        <w:t>，涵盖数据的存储方式、</w:t>
      </w:r>
      <w:r>
        <w:rPr>
          <w:rFonts w:hint="eastAsia" w:ascii="仿宋_GB2312" w:hAnsi="仿宋_GB2312" w:eastAsia="仿宋_GB2312" w:cs="仿宋_GB2312"/>
          <w:sz w:val="32"/>
          <w:szCs w:val="32"/>
          <w:lang w:eastAsia="zh-CN"/>
        </w:rPr>
        <w:t>存储</w:t>
      </w:r>
      <w:r>
        <w:rPr>
          <w:rFonts w:hint="eastAsia" w:ascii="仿宋_GB2312" w:hAnsi="仿宋_GB2312" w:eastAsia="仿宋_GB2312" w:cs="仿宋_GB2312"/>
          <w:sz w:val="32"/>
          <w:szCs w:val="32"/>
        </w:rPr>
        <w:t>格式、</w:t>
      </w:r>
      <w:r>
        <w:rPr>
          <w:rFonts w:hint="eastAsia" w:ascii="仿宋_GB2312" w:hAnsi="仿宋_GB2312" w:eastAsia="仿宋_GB2312" w:cs="仿宋_GB2312"/>
          <w:sz w:val="32"/>
          <w:szCs w:val="32"/>
          <w:lang w:eastAsia="zh-CN"/>
        </w:rPr>
        <w:t>存储设备和数据</w:t>
      </w:r>
      <w:r>
        <w:rPr>
          <w:rFonts w:hint="eastAsia" w:ascii="仿宋_GB2312" w:hAnsi="仿宋_GB2312" w:eastAsia="仿宋_GB2312" w:cs="仿宋_GB2312"/>
          <w:sz w:val="32"/>
          <w:szCs w:val="32"/>
        </w:rPr>
        <w:t>备份等</w:t>
      </w:r>
      <w:r>
        <w:rPr>
          <w:rFonts w:hint="eastAsia" w:ascii="仿宋_GB2312" w:hAnsi="仿宋_GB2312" w:eastAsia="仿宋_GB2312" w:cs="仿宋_GB2312"/>
          <w:sz w:val="32"/>
          <w:szCs w:val="32"/>
          <w:lang w:eastAsia="zh-CN"/>
        </w:rPr>
        <w:t>建议</w:t>
      </w:r>
      <w:r>
        <w:rPr>
          <w:rFonts w:hint="eastAsia" w:ascii="仿宋_GB2312" w:hAnsi="仿宋_GB2312" w:eastAsia="仿宋_GB2312" w:cs="仿宋_GB2312"/>
          <w:sz w:val="32"/>
          <w:szCs w:val="32"/>
        </w:rPr>
        <w:t>。</w:t>
      </w:r>
    </w:p>
    <w:p>
      <w:pPr>
        <w:ind w:firstLine="642"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9.数字化管理平台。</w:t>
      </w:r>
      <w:r>
        <w:rPr>
          <w:rFonts w:hint="eastAsia" w:ascii="仿宋_GB2312" w:hAnsi="仿宋_GB2312" w:eastAsia="仿宋_GB2312" w:cs="仿宋_GB2312"/>
          <w:sz w:val="32"/>
          <w:szCs w:val="32"/>
        </w:rPr>
        <w:t>本章给出了</w:t>
      </w:r>
      <w:r>
        <w:rPr>
          <w:rFonts w:hint="eastAsia" w:ascii="仿宋_GB2312" w:hAnsi="仿宋_GB2312" w:eastAsia="仿宋_GB2312" w:cs="仿宋_GB2312"/>
          <w:sz w:val="32"/>
          <w:szCs w:val="32"/>
          <w:lang w:eastAsia="zh-CN"/>
        </w:rPr>
        <w:t>智慧</w:t>
      </w:r>
      <w:r>
        <w:rPr>
          <w:rFonts w:hint="eastAsia" w:ascii="仿宋_GB2312" w:hAnsi="仿宋_GB2312" w:eastAsia="仿宋_GB2312" w:cs="仿宋_GB2312"/>
          <w:sz w:val="32"/>
          <w:szCs w:val="32"/>
        </w:rPr>
        <w:t>养鸡场</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数字化管理平台建设建议。涵盖平台构建架构、用户权限设置、平台功能组成部分、平台接口等等。管理平台是智慧养鸡场的大脑，其智慧程度取决于管理平台的能力。管理平台提供生产管理、设备管理、安全管理等应用，具备生产排程和调度、设备参数监控并远程操作、设备协同、报警监视管理、健康管理、台账和日志管理等功能。采用人工智能算法和模型对智能养鸡设备采集的数据汇总分析并能给出养鸡工艺、环境控制等建议。同时，平台报表分析中心可给出规模化养鸡场综合经济收益分析，为投资者提供可视化决策依据。</w:t>
      </w:r>
    </w:p>
    <w:p>
      <w:pPr>
        <w:pStyle w:val="3"/>
        <w:spacing w:before="0" w:after="0" w:line="240" w:lineRule="auto"/>
        <w:ind w:firstLine="640" w:firstLineChars="200"/>
        <w:rPr>
          <w:rFonts w:hint="eastAsia" w:ascii="黑体" w:hAnsi="黑体" w:eastAsia="黑体" w:cs="黑体"/>
          <w:b w:val="0"/>
        </w:rPr>
      </w:pPr>
      <w:r>
        <w:rPr>
          <w:rFonts w:hint="eastAsia" w:ascii="黑体" w:hAnsi="黑体" w:eastAsia="黑体" w:cs="黑体"/>
          <w:b w:val="0"/>
        </w:rPr>
        <w:t>三、试验验证的分析、综述报告，技术经济论证，预期的经济效益、社会效益和生态效益</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从前期调研情况看，目前国内养鸡场已基本实现集约化、机械化、自动化，智能化是规模化养鸡场近十年的主流模式。</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在标准编制过程中，标准起草工作组调查了清远市广生元畜牧发展有限公司、广东壹号生物科技</w:t>
      </w:r>
      <w:r>
        <w:rPr>
          <w:rFonts w:hint="eastAsia" w:ascii="仿宋_GB2312" w:hAnsi="仿宋_GB2312" w:eastAsia="仿宋_GB2312" w:cs="仿宋_GB2312"/>
          <w:sz w:val="32"/>
          <w:szCs w:val="32"/>
          <w:lang w:eastAsia="zh-CN"/>
        </w:rPr>
        <w:t>有限</w:t>
      </w:r>
      <w:r>
        <w:rPr>
          <w:rFonts w:hint="eastAsia" w:ascii="仿宋_GB2312" w:hAnsi="仿宋_GB2312" w:eastAsia="仿宋_GB2312" w:cs="仿宋_GB2312"/>
          <w:sz w:val="32"/>
          <w:szCs w:val="32"/>
        </w:rPr>
        <w:t>公司、无穷食品、江西天缘禽业有限公司、江西小牧童生态农业发展有限公司等大中型养鸡场的设备、智能管理平台及应用模块配置情况，五个养鸡场均配备了全套自动化生产设备，其智能管理平台包含生产管理、设备管理、报警监视、能源管理、安全管理等主要方面，基本符合本标准的规定。现有养鸡场在已有设备的基础上，通过增加信息采集、通讯、网络建设、等相对较小的投入，也可基本符合本标准的规定。</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标准以超越当前国内顶级配置的养鸡场为视角，以设施装备配置为落脚点，指引养鸡场数字化管理平台引入人工智能算法与模型，增加养鸡场智慧化，国内外尚没有相关的标准。本标准的制定与实施，将有助于引领推动智慧养鸡场建设，实现数字化、智能化的养鸡生产，提高生产效率和养鸡质量，降低劳动强度和生产成本，提高生产过程的可追溯性，进而提高经济效益，保障食品安全和质量。</w:t>
      </w:r>
    </w:p>
    <w:p>
      <w:pPr>
        <w:pStyle w:val="3"/>
        <w:spacing w:before="0" w:after="0" w:line="240" w:lineRule="auto"/>
        <w:ind w:firstLine="640" w:firstLineChars="200"/>
        <w:rPr>
          <w:rFonts w:hint="eastAsia" w:ascii="黑体" w:hAnsi="黑体" w:eastAsia="黑体" w:cs="黑体"/>
          <w:b w:val="0"/>
        </w:rPr>
      </w:pPr>
      <w:r>
        <w:rPr>
          <w:rFonts w:hint="eastAsia" w:ascii="黑体" w:hAnsi="黑体" w:eastAsia="黑体" w:cs="黑体"/>
          <w:b w:val="0"/>
        </w:rPr>
        <w:t>四、与国际、国外同类标准技术内容的对比情况，或者与测试的国外样品、样机的有关数据对比情况</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经查新和检索，国际、国外尚无相关的同类标准。</w:t>
      </w:r>
    </w:p>
    <w:p>
      <w:pPr>
        <w:pStyle w:val="3"/>
        <w:spacing w:before="0" w:after="0" w:line="240" w:lineRule="auto"/>
        <w:ind w:firstLine="640" w:firstLineChars="200"/>
        <w:rPr>
          <w:rFonts w:hint="eastAsia" w:ascii="黑体" w:hAnsi="黑体" w:eastAsia="黑体" w:cs="黑体"/>
          <w:b w:val="0"/>
        </w:rPr>
      </w:pPr>
      <w:r>
        <w:rPr>
          <w:rFonts w:hint="eastAsia" w:ascii="黑体" w:hAnsi="黑体" w:eastAsia="黑体" w:cs="黑体"/>
          <w:b w:val="0"/>
        </w:rPr>
        <w:t>五、以国际标准为基础的起草情况，以及是否合规引用或者采用国际国外标准，并说明未采用国际标准的原因</w:t>
      </w:r>
    </w:p>
    <w:p>
      <w:pPr>
        <w:adjustRightInd w:val="0"/>
        <w:ind w:firstLine="604" w:firstLineChars="189"/>
        <w:textAlignment w:val="baseline"/>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sz w:val="32"/>
          <w:szCs w:val="32"/>
        </w:rPr>
        <w:t>无</w:t>
      </w:r>
    </w:p>
    <w:p>
      <w:pPr>
        <w:pStyle w:val="3"/>
        <w:spacing w:before="0" w:after="0" w:line="240" w:lineRule="auto"/>
        <w:ind w:firstLine="640" w:firstLineChars="200"/>
        <w:rPr>
          <w:rFonts w:hint="eastAsia" w:ascii="黑体" w:hAnsi="黑体" w:eastAsia="黑体" w:cs="黑体"/>
          <w:b w:val="0"/>
        </w:rPr>
      </w:pPr>
      <w:r>
        <w:rPr>
          <w:rFonts w:hint="eastAsia" w:ascii="黑体" w:hAnsi="黑体" w:eastAsia="黑体" w:cs="黑体"/>
          <w:b w:val="0"/>
        </w:rPr>
        <w:t>六、与有关法律、行政法规及相关标准的关系</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本标准贯彻落实党中央、国务院以及农业农村部有关决策部署，符合现行有关法律法规规定。本标准参考并引用了部分现行相关行业标准，能够协调一致。</w:t>
      </w:r>
    </w:p>
    <w:p>
      <w:pPr>
        <w:pStyle w:val="3"/>
        <w:spacing w:before="0" w:after="0" w:line="240" w:lineRule="auto"/>
        <w:ind w:firstLine="640" w:firstLineChars="200"/>
        <w:rPr>
          <w:rFonts w:hint="eastAsia" w:ascii="黑体" w:hAnsi="黑体" w:eastAsia="黑体" w:cs="黑体"/>
          <w:b w:val="0"/>
        </w:rPr>
      </w:pPr>
      <w:r>
        <w:rPr>
          <w:rFonts w:hint="eastAsia" w:ascii="黑体" w:hAnsi="黑体" w:eastAsia="黑体" w:cs="黑体"/>
          <w:b w:val="0"/>
        </w:rPr>
        <w:t>七、重大分歧意见的处理经过和依据</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pPr>
        <w:pStyle w:val="3"/>
        <w:spacing w:before="0" w:after="0" w:line="240" w:lineRule="auto"/>
        <w:ind w:firstLine="640" w:firstLineChars="200"/>
        <w:rPr>
          <w:rFonts w:hint="eastAsia" w:ascii="黑体" w:hAnsi="黑体" w:eastAsia="黑体" w:cs="黑体"/>
          <w:b w:val="0"/>
        </w:rPr>
      </w:pPr>
      <w:r>
        <w:rPr>
          <w:rFonts w:hint="eastAsia" w:ascii="黑体" w:hAnsi="黑体" w:eastAsia="黑体" w:cs="黑体"/>
          <w:b w:val="0"/>
        </w:rPr>
        <w:t>八、涉及专利的有关说明</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在专利数据库查询智慧养鸡相关专利共6条，均与本标准无关。本标准经公开征求社会意见建议，尚未识别出涉及专利情况。</w:t>
      </w:r>
    </w:p>
    <w:p>
      <w:pPr>
        <w:pStyle w:val="3"/>
        <w:spacing w:before="0" w:after="0" w:line="240" w:lineRule="auto"/>
        <w:ind w:firstLine="640" w:firstLineChars="200"/>
        <w:rPr>
          <w:rFonts w:hint="eastAsia" w:ascii="黑体" w:hAnsi="黑体" w:eastAsia="黑体" w:cs="黑体"/>
          <w:b w:val="0"/>
        </w:rPr>
      </w:pPr>
      <w:r>
        <w:rPr>
          <w:rFonts w:hint="eastAsia" w:ascii="黑体" w:hAnsi="黑体" w:eastAsia="黑体" w:cs="黑体"/>
          <w:b w:val="0"/>
        </w:rPr>
        <w:t>九、实施标准的要求，以及组织措施、技术措施、过渡期和实施日期的建议等措施建议</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议本标准作为推荐性农业行业标准发布实施，建议本标准批准发布后6个月实施。本标准发布实施后，标准技术归口单位可组织对生产企业、养鸡企业等相关单位和人员进行宣传培训，推动标准贯彻实施。各级农业农村部门可将本标准作为智慧养鸡场建设的技术指导文件，指引智慧养鸡场的建设与验收。养鸡设备生产和服务提供企业可参照本标准，结合养鸡行业发展情况，对企业内部标准进行修订完善。养鸡生产企业可以根据本标准的建议，设计建设智慧养鸡场。</w:t>
      </w:r>
    </w:p>
    <w:p>
      <w:pPr>
        <w:pStyle w:val="3"/>
        <w:spacing w:before="0" w:after="0" w:line="240" w:lineRule="auto"/>
        <w:ind w:firstLine="640" w:firstLineChars="200"/>
        <w:rPr>
          <w:rFonts w:hint="eastAsia" w:ascii="黑体" w:hAnsi="黑体" w:eastAsia="黑体" w:cs="黑体"/>
          <w:b w:val="0"/>
        </w:rPr>
      </w:pPr>
      <w:r>
        <w:rPr>
          <w:rFonts w:hint="eastAsia" w:ascii="黑体" w:hAnsi="黑体" w:eastAsia="黑体" w:cs="黑体"/>
          <w:b w:val="0"/>
        </w:rPr>
        <w:t>十、其他应当说明的事项</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pPr>
        <w:ind w:firstLine="640" w:firstLineChars="200"/>
        <w:rPr>
          <w:rFonts w:hint="eastAsia" w:ascii="仿宋_GB2312" w:hAnsi="仿宋_GB2312" w:eastAsia="仿宋_GB2312" w:cs="仿宋_GB2312"/>
          <w:sz w:val="32"/>
          <w:szCs w:val="32"/>
        </w:rPr>
      </w:pPr>
    </w:p>
    <w:p>
      <w:pPr>
        <w:ind w:firstLine="640" w:firstLineChars="200"/>
        <w:rPr>
          <w:rFonts w:hint="eastAsia" w:ascii="仿宋_GB2312" w:hAnsi="仿宋_GB2312" w:eastAsia="仿宋_GB2312" w:cs="仿宋_GB2312"/>
          <w:sz w:val="32"/>
          <w:szCs w:val="32"/>
        </w:rPr>
      </w:pPr>
    </w:p>
    <w:p>
      <w:pPr>
        <w:jc w:val="righ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《智慧牧场机械化建设指南  第2分：养鸡场》</w:t>
      </w:r>
    </w:p>
    <w:p>
      <w:pPr>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        标准起草工作组</w:t>
      </w:r>
    </w:p>
    <w:p>
      <w:pPr>
        <w:jc w:val="center"/>
      </w:pPr>
      <w:r>
        <w:rPr>
          <w:rFonts w:hint="eastAsia" w:ascii="仿宋_GB2312" w:hAnsi="仿宋_GB2312" w:eastAsia="仿宋_GB2312" w:cs="仿宋_GB2312"/>
          <w:color w:val="000000"/>
          <w:kern w:val="0"/>
          <w:sz w:val="32"/>
          <w:szCs w:val="32"/>
        </w:rPr>
        <w:t xml:space="preserve">        2024年</w:t>
      </w:r>
      <w:r>
        <w:rPr>
          <w:rFonts w:hint="eastAsia" w:ascii="仿宋_GB2312" w:hAnsi="仿宋_GB2312" w:eastAsia="仿宋_GB2312" w:cs="仿宋_GB2312"/>
          <w:color w:val="000000"/>
          <w:kern w:val="0"/>
          <w:sz w:val="32"/>
          <w:szCs w:val="32"/>
          <w:lang w:val="en-US" w:eastAsia="zh-CN"/>
        </w:rPr>
        <w:t>11</w:t>
      </w:r>
      <w:r>
        <w:rPr>
          <w:rFonts w:hint="eastAsia" w:ascii="仿宋_GB2312" w:hAnsi="仿宋_GB2312" w:eastAsia="仿宋_GB2312" w:cs="仿宋_GB2312"/>
          <w:color w:val="000000"/>
          <w:kern w:val="0"/>
          <w:sz w:val="32"/>
          <w:szCs w:val="32"/>
        </w:rPr>
        <w:t>月</w:t>
      </w:r>
      <w:r>
        <w:rPr>
          <w:rFonts w:hint="eastAsia" w:ascii="仿宋_GB2312" w:hAnsi="仿宋_GB2312" w:eastAsia="仿宋_GB2312" w:cs="仿宋_GB2312"/>
          <w:color w:val="000000"/>
          <w:kern w:val="0"/>
          <w:sz w:val="32"/>
          <w:szCs w:val="32"/>
          <w:lang w:val="en-US" w:eastAsia="zh-CN"/>
        </w:rPr>
        <w:t>6</w:t>
      </w:r>
      <w:bookmarkStart w:id="0" w:name="_GoBack"/>
      <w:bookmarkEnd w:id="0"/>
      <w:r>
        <w:rPr>
          <w:rFonts w:hint="eastAsia" w:ascii="仿宋_GB2312" w:hAnsi="仿宋_GB2312" w:eastAsia="仿宋_GB2312" w:cs="仿宋_GB2312"/>
          <w:color w:val="000000"/>
          <w:kern w:val="0"/>
          <w:sz w:val="32"/>
          <w:szCs w:val="32"/>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Mongolian Baiti">
    <w:altName w:val="Angsana New"/>
    <w:panose1 w:val="03000500000000000000"/>
    <w:charset w:val="00"/>
    <w:family w:val="script"/>
    <w:pitch w:val="default"/>
    <w:sig w:usb0="00000000" w:usb1="00000000" w:usb2="00020000" w:usb3="00000000" w:csb0="00000001" w:csb1="00000000"/>
  </w:font>
  <w:font w:name="Cambria">
    <w:altName w:val="Noto Sans Syriac Eastern"/>
    <w:panose1 w:val="02040503050406030204"/>
    <w:charset w:val="00"/>
    <w:family w:val="roman"/>
    <w:pitch w:val="default"/>
    <w:sig w:usb0="00000000" w:usb1="00000000" w:usb2="02000000" w:usb3="00000000" w:csb0="0000019F"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Angsana New">
    <w:panose1 w:val="02020503050405090304"/>
    <w:charset w:val="00"/>
    <w:family w:val="auto"/>
    <w:pitch w:val="default"/>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MxYTBmM2ExNDA5MTI5NmEwNjA4YTk5MmRmY2Y2MzgifQ=="/>
  </w:docVars>
  <w:rsids>
    <w:rsidRoot w:val="00EC36C1"/>
    <w:rsid w:val="00000DCD"/>
    <w:rsid w:val="00014649"/>
    <w:rsid w:val="000413C5"/>
    <w:rsid w:val="00066D14"/>
    <w:rsid w:val="00072E4E"/>
    <w:rsid w:val="00077B9B"/>
    <w:rsid w:val="0008168D"/>
    <w:rsid w:val="000864E9"/>
    <w:rsid w:val="00095BF9"/>
    <w:rsid w:val="000D781C"/>
    <w:rsid w:val="00101D56"/>
    <w:rsid w:val="00106C48"/>
    <w:rsid w:val="00113A6D"/>
    <w:rsid w:val="00126155"/>
    <w:rsid w:val="00143A67"/>
    <w:rsid w:val="00145D34"/>
    <w:rsid w:val="00160E95"/>
    <w:rsid w:val="001618AF"/>
    <w:rsid w:val="00162659"/>
    <w:rsid w:val="00162FAE"/>
    <w:rsid w:val="00184EB2"/>
    <w:rsid w:val="00184EF9"/>
    <w:rsid w:val="001A6195"/>
    <w:rsid w:val="001A6C00"/>
    <w:rsid w:val="001C2AB1"/>
    <w:rsid w:val="001C642D"/>
    <w:rsid w:val="001D156F"/>
    <w:rsid w:val="001D231F"/>
    <w:rsid w:val="001D50AA"/>
    <w:rsid w:val="001E1F25"/>
    <w:rsid w:val="001F4E91"/>
    <w:rsid w:val="00200377"/>
    <w:rsid w:val="0021129A"/>
    <w:rsid w:val="002273FC"/>
    <w:rsid w:val="002311B9"/>
    <w:rsid w:val="0023780D"/>
    <w:rsid w:val="00253127"/>
    <w:rsid w:val="0026033E"/>
    <w:rsid w:val="002670C7"/>
    <w:rsid w:val="00273FBA"/>
    <w:rsid w:val="00285F98"/>
    <w:rsid w:val="002937B7"/>
    <w:rsid w:val="002A0C27"/>
    <w:rsid w:val="002B2611"/>
    <w:rsid w:val="002B7F14"/>
    <w:rsid w:val="002C137A"/>
    <w:rsid w:val="002F2A16"/>
    <w:rsid w:val="003019F3"/>
    <w:rsid w:val="00306C1F"/>
    <w:rsid w:val="003145F0"/>
    <w:rsid w:val="0032250E"/>
    <w:rsid w:val="00332B07"/>
    <w:rsid w:val="00343C67"/>
    <w:rsid w:val="0034723F"/>
    <w:rsid w:val="0036286E"/>
    <w:rsid w:val="00365B4C"/>
    <w:rsid w:val="00373A22"/>
    <w:rsid w:val="003766E3"/>
    <w:rsid w:val="00376783"/>
    <w:rsid w:val="00385676"/>
    <w:rsid w:val="0038683A"/>
    <w:rsid w:val="0039001D"/>
    <w:rsid w:val="00390C82"/>
    <w:rsid w:val="00395D55"/>
    <w:rsid w:val="003A6D5F"/>
    <w:rsid w:val="003A7849"/>
    <w:rsid w:val="003B070F"/>
    <w:rsid w:val="003C2198"/>
    <w:rsid w:val="003C25F1"/>
    <w:rsid w:val="003D4DF1"/>
    <w:rsid w:val="003E1759"/>
    <w:rsid w:val="003E4C75"/>
    <w:rsid w:val="003F2770"/>
    <w:rsid w:val="00406B95"/>
    <w:rsid w:val="00413935"/>
    <w:rsid w:val="004163B3"/>
    <w:rsid w:val="00456615"/>
    <w:rsid w:val="00482361"/>
    <w:rsid w:val="004A2EE1"/>
    <w:rsid w:val="004D1E7F"/>
    <w:rsid w:val="004E453E"/>
    <w:rsid w:val="004E6D2B"/>
    <w:rsid w:val="004F4F4B"/>
    <w:rsid w:val="004F63F2"/>
    <w:rsid w:val="00507C1C"/>
    <w:rsid w:val="00525BB1"/>
    <w:rsid w:val="00557B33"/>
    <w:rsid w:val="00557D1A"/>
    <w:rsid w:val="00565838"/>
    <w:rsid w:val="005B5B6B"/>
    <w:rsid w:val="005D3E69"/>
    <w:rsid w:val="005D6D46"/>
    <w:rsid w:val="005E53DF"/>
    <w:rsid w:val="00600DA3"/>
    <w:rsid w:val="006025E9"/>
    <w:rsid w:val="00623869"/>
    <w:rsid w:val="006410B8"/>
    <w:rsid w:val="00642108"/>
    <w:rsid w:val="006421B3"/>
    <w:rsid w:val="00645A46"/>
    <w:rsid w:val="006471CE"/>
    <w:rsid w:val="00651A50"/>
    <w:rsid w:val="00651DCA"/>
    <w:rsid w:val="0067390E"/>
    <w:rsid w:val="006809EF"/>
    <w:rsid w:val="00682D97"/>
    <w:rsid w:val="00697B06"/>
    <w:rsid w:val="006A1A5F"/>
    <w:rsid w:val="006A2B8B"/>
    <w:rsid w:val="006A43E6"/>
    <w:rsid w:val="006A610D"/>
    <w:rsid w:val="006C2B7A"/>
    <w:rsid w:val="006D0991"/>
    <w:rsid w:val="006D1D4B"/>
    <w:rsid w:val="006D7D7B"/>
    <w:rsid w:val="006F71CB"/>
    <w:rsid w:val="00702951"/>
    <w:rsid w:val="007252EA"/>
    <w:rsid w:val="00740648"/>
    <w:rsid w:val="00742143"/>
    <w:rsid w:val="00760AFA"/>
    <w:rsid w:val="007643B1"/>
    <w:rsid w:val="00764436"/>
    <w:rsid w:val="00767ECA"/>
    <w:rsid w:val="0077179D"/>
    <w:rsid w:val="00771CC0"/>
    <w:rsid w:val="0077203D"/>
    <w:rsid w:val="00783DF0"/>
    <w:rsid w:val="007917AF"/>
    <w:rsid w:val="0079583F"/>
    <w:rsid w:val="007E52AE"/>
    <w:rsid w:val="007F01F0"/>
    <w:rsid w:val="008004F4"/>
    <w:rsid w:val="00816F18"/>
    <w:rsid w:val="00831B90"/>
    <w:rsid w:val="008341C8"/>
    <w:rsid w:val="00853534"/>
    <w:rsid w:val="00860155"/>
    <w:rsid w:val="00864DB8"/>
    <w:rsid w:val="00873E33"/>
    <w:rsid w:val="00875987"/>
    <w:rsid w:val="008A64AC"/>
    <w:rsid w:val="008A6F4F"/>
    <w:rsid w:val="008B32BA"/>
    <w:rsid w:val="008C0DAF"/>
    <w:rsid w:val="008C109D"/>
    <w:rsid w:val="008C3F75"/>
    <w:rsid w:val="008F227E"/>
    <w:rsid w:val="0090542D"/>
    <w:rsid w:val="00907B8C"/>
    <w:rsid w:val="00911C53"/>
    <w:rsid w:val="00914FD5"/>
    <w:rsid w:val="00917B0A"/>
    <w:rsid w:val="009202F2"/>
    <w:rsid w:val="00937220"/>
    <w:rsid w:val="0095088F"/>
    <w:rsid w:val="009528DB"/>
    <w:rsid w:val="009537D2"/>
    <w:rsid w:val="009633F7"/>
    <w:rsid w:val="00966CD6"/>
    <w:rsid w:val="009729E9"/>
    <w:rsid w:val="0098422F"/>
    <w:rsid w:val="009842DF"/>
    <w:rsid w:val="00997FE0"/>
    <w:rsid w:val="009B25A1"/>
    <w:rsid w:val="009C5DF0"/>
    <w:rsid w:val="009D35B6"/>
    <w:rsid w:val="009D74B8"/>
    <w:rsid w:val="009E1CA5"/>
    <w:rsid w:val="009E3405"/>
    <w:rsid w:val="009E4E45"/>
    <w:rsid w:val="009E5484"/>
    <w:rsid w:val="009F3BA3"/>
    <w:rsid w:val="00A05803"/>
    <w:rsid w:val="00A0686B"/>
    <w:rsid w:val="00A0761E"/>
    <w:rsid w:val="00A118F3"/>
    <w:rsid w:val="00A16852"/>
    <w:rsid w:val="00A25093"/>
    <w:rsid w:val="00A4641B"/>
    <w:rsid w:val="00A47565"/>
    <w:rsid w:val="00A51293"/>
    <w:rsid w:val="00A61E81"/>
    <w:rsid w:val="00A70D33"/>
    <w:rsid w:val="00A71044"/>
    <w:rsid w:val="00A74878"/>
    <w:rsid w:val="00A7630B"/>
    <w:rsid w:val="00A77EC1"/>
    <w:rsid w:val="00A846AA"/>
    <w:rsid w:val="00A96727"/>
    <w:rsid w:val="00AB1227"/>
    <w:rsid w:val="00AB146B"/>
    <w:rsid w:val="00AB64FF"/>
    <w:rsid w:val="00AB7885"/>
    <w:rsid w:val="00AC4313"/>
    <w:rsid w:val="00B0090E"/>
    <w:rsid w:val="00B03291"/>
    <w:rsid w:val="00B067B1"/>
    <w:rsid w:val="00B07ED4"/>
    <w:rsid w:val="00B12D97"/>
    <w:rsid w:val="00B179A4"/>
    <w:rsid w:val="00B36C23"/>
    <w:rsid w:val="00B6119A"/>
    <w:rsid w:val="00B81603"/>
    <w:rsid w:val="00B86804"/>
    <w:rsid w:val="00BA3404"/>
    <w:rsid w:val="00BA4066"/>
    <w:rsid w:val="00BC056B"/>
    <w:rsid w:val="00BD0C49"/>
    <w:rsid w:val="00C00DF7"/>
    <w:rsid w:val="00C16249"/>
    <w:rsid w:val="00C24E34"/>
    <w:rsid w:val="00C31053"/>
    <w:rsid w:val="00C357B1"/>
    <w:rsid w:val="00C5036A"/>
    <w:rsid w:val="00C56836"/>
    <w:rsid w:val="00C5766C"/>
    <w:rsid w:val="00C63E0E"/>
    <w:rsid w:val="00C80DE5"/>
    <w:rsid w:val="00C826CC"/>
    <w:rsid w:val="00C84431"/>
    <w:rsid w:val="00C9371C"/>
    <w:rsid w:val="00CA4461"/>
    <w:rsid w:val="00CC4363"/>
    <w:rsid w:val="00CE6564"/>
    <w:rsid w:val="00D02F51"/>
    <w:rsid w:val="00D101C1"/>
    <w:rsid w:val="00D1415F"/>
    <w:rsid w:val="00D430EE"/>
    <w:rsid w:val="00D5140B"/>
    <w:rsid w:val="00D63E1E"/>
    <w:rsid w:val="00D829EC"/>
    <w:rsid w:val="00DA2044"/>
    <w:rsid w:val="00DA2DD3"/>
    <w:rsid w:val="00DB0886"/>
    <w:rsid w:val="00DC0D6E"/>
    <w:rsid w:val="00DC1B65"/>
    <w:rsid w:val="00DC1DA8"/>
    <w:rsid w:val="00DD590D"/>
    <w:rsid w:val="00E117F8"/>
    <w:rsid w:val="00E229EC"/>
    <w:rsid w:val="00E23E3F"/>
    <w:rsid w:val="00E55668"/>
    <w:rsid w:val="00E56EDF"/>
    <w:rsid w:val="00E73018"/>
    <w:rsid w:val="00E854C7"/>
    <w:rsid w:val="00E87DB2"/>
    <w:rsid w:val="00EA3496"/>
    <w:rsid w:val="00EA4234"/>
    <w:rsid w:val="00EB60FA"/>
    <w:rsid w:val="00EB6292"/>
    <w:rsid w:val="00EC36C1"/>
    <w:rsid w:val="00EF42DE"/>
    <w:rsid w:val="00F0626E"/>
    <w:rsid w:val="00F131EF"/>
    <w:rsid w:val="00F23080"/>
    <w:rsid w:val="00F304B0"/>
    <w:rsid w:val="00F37184"/>
    <w:rsid w:val="00F44385"/>
    <w:rsid w:val="00F519F5"/>
    <w:rsid w:val="00F63AC1"/>
    <w:rsid w:val="00F74FEB"/>
    <w:rsid w:val="00F75879"/>
    <w:rsid w:val="00F762D2"/>
    <w:rsid w:val="00F8120B"/>
    <w:rsid w:val="00F83A8B"/>
    <w:rsid w:val="00F93D11"/>
    <w:rsid w:val="00F96DC5"/>
    <w:rsid w:val="00FB71B0"/>
    <w:rsid w:val="00FC13FE"/>
    <w:rsid w:val="00FC1D32"/>
    <w:rsid w:val="00FC5976"/>
    <w:rsid w:val="00FF3C9A"/>
    <w:rsid w:val="00FF7A24"/>
    <w:rsid w:val="01F869A0"/>
    <w:rsid w:val="2C3704A5"/>
    <w:rsid w:val="2EBA06F2"/>
    <w:rsid w:val="3F1F7707"/>
    <w:rsid w:val="3FF73ECA"/>
    <w:rsid w:val="4B96496F"/>
    <w:rsid w:val="5B6F6451"/>
    <w:rsid w:val="6FBFFF6D"/>
    <w:rsid w:val="72AF481F"/>
    <w:rsid w:val="73FFDFC5"/>
    <w:rsid w:val="7A9D51A5"/>
    <w:rsid w:val="7B5E8EF1"/>
    <w:rsid w:val="7BFDC5D3"/>
    <w:rsid w:val="7FDD65C8"/>
    <w:rsid w:val="7FE54A8A"/>
    <w:rsid w:val="CFBF47B9"/>
    <w:rsid w:val="F3BB02EE"/>
    <w:rsid w:val="FCFFFC6F"/>
    <w:rsid w:val="FD2F8A2A"/>
    <w:rsid w:val="FE7B113F"/>
    <w:rsid w:val="FEFF04BB"/>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5"/>
    <w:unhideWhenUsed/>
    <w:qFormat/>
    <w:uiPriority w:val="9"/>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qFormat/>
    <w:uiPriority w:val="99"/>
    <w:pPr>
      <w:ind w:left="200" w:leftChars="200"/>
    </w:pPr>
  </w:style>
  <w:style w:type="paragraph" w:styleId="5">
    <w:name w:val="Balloon Text"/>
    <w:basedOn w:val="1"/>
    <w:link w:val="21"/>
    <w:semiHidden/>
    <w:unhideWhenUsed/>
    <w:qFormat/>
    <w:uiPriority w:val="99"/>
    <w:rPr>
      <w:sz w:val="18"/>
      <w:szCs w:val="18"/>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spacing w:beforeAutospacing="1" w:afterAutospacing="1"/>
      <w:jc w:val="left"/>
    </w:pPr>
    <w:rPr>
      <w:rFonts w:cs="Times New Roman"/>
      <w:kern w:val="0"/>
      <w:sz w:val="24"/>
    </w:rPr>
  </w:style>
  <w:style w:type="paragraph" w:styleId="9">
    <w:name w:val="Title"/>
    <w:basedOn w:val="1"/>
    <w:next w:val="1"/>
    <w:link w:val="16"/>
    <w:qFormat/>
    <w:uiPriority w:val="10"/>
    <w:pPr>
      <w:spacing w:before="240" w:after="60"/>
      <w:jc w:val="center"/>
      <w:outlineLvl w:val="0"/>
    </w:pPr>
    <w:rPr>
      <w:rFonts w:eastAsia="宋体" w:asciiTheme="majorHAnsi" w:hAnsiTheme="majorHAnsi" w:cstheme="majorBidi"/>
      <w:b/>
      <w:bCs/>
      <w:sz w:val="32"/>
      <w:szCs w:val="32"/>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qFormat/>
    <w:uiPriority w:val="34"/>
    <w:pPr>
      <w:ind w:firstLine="420" w:firstLineChars="200"/>
    </w:pPr>
  </w:style>
  <w:style w:type="character" w:customStyle="1" w:styleId="14">
    <w:name w:val="标题 2 字符"/>
    <w:basedOn w:val="12"/>
    <w:link w:val="3"/>
    <w:qFormat/>
    <w:uiPriority w:val="9"/>
    <w:rPr>
      <w:rFonts w:asciiTheme="majorHAnsi" w:hAnsiTheme="majorHAnsi" w:eastAsiaTheme="majorEastAsia" w:cstheme="majorBidi"/>
      <w:b/>
      <w:bCs/>
      <w:sz w:val="32"/>
      <w:szCs w:val="32"/>
    </w:rPr>
  </w:style>
  <w:style w:type="character" w:customStyle="1" w:styleId="15">
    <w:name w:val="标题 3 字符"/>
    <w:basedOn w:val="12"/>
    <w:link w:val="4"/>
    <w:qFormat/>
    <w:uiPriority w:val="9"/>
    <w:rPr>
      <w:b/>
      <w:bCs/>
      <w:sz w:val="32"/>
      <w:szCs w:val="32"/>
    </w:rPr>
  </w:style>
  <w:style w:type="character" w:customStyle="1" w:styleId="16">
    <w:name w:val="标题 字符"/>
    <w:basedOn w:val="12"/>
    <w:link w:val="9"/>
    <w:qFormat/>
    <w:uiPriority w:val="10"/>
    <w:rPr>
      <w:rFonts w:eastAsia="宋体" w:asciiTheme="majorHAnsi" w:hAnsiTheme="majorHAnsi" w:cstheme="majorBidi"/>
      <w:b/>
      <w:bCs/>
      <w:sz w:val="32"/>
      <w:szCs w:val="32"/>
    </w:rPr>
  </w:style>
  <w:style w:type="paragraph" w:customStyle="1" w:styleId="17">
    <w:name w:val="段"/>
    <w:link w:val="18"/>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8">
    <w:name w:val="段 Char"/>
    <w:link w:val="17"/>
    <w:qFormat/>
    <w:uiPriority w:val="0"/>
    <w:rPr>
      <w:rFonts w:ascii="宋体" w:hAnsi="Times New Roman" w:eastAsia="宋体" w:cs="Times New Roman"/>
      <w:kern w:val="0"/>
      <w:szCs w:val="20"/>
    </w:rPr>
  </w:style>
  <w:style w:type="character" w:customStyle="1" w:styleId="19">
    <w:name w:val="页眉 字符"/>
    <w:basedOn w:val="12"/>
    <w:link w:val="7"/>
    <w:qFormat/>
    <w:uiPriority w:val="99"/>
    <w:rPr>
      <w:sz w:val="18"/>
      <w:szCs w:val="18"/>
    </w:rPr>
  </w:style>
  <w:style w:type="character" w:customStyle="1" w:styleId="20">
    <w:name w:val="页脚 字符"/>
    <w:basedOn w:val="12"/>
    <w:link w:val="6"/>
    <w:qFormat/>
    <w:uiPriority w:val="99"/>
    <w:rPr>
      <w:sz w:val="18"/>
      <w:szCs w:val="18"/>
    </w:rPr>
  </w:style>
  <w:style w:type="character" w:customStyle="1" w:styleId="21">
    <w:name w:val="批注框文本 字符"/>
    <w:basedOn w:val="12"/>
    <w:link w:val="5"/>
    <w:semiHidden/>
    <w:qFormat/>
    <w:uiPriority w:val="99"/>
    <w:rPr>
      <w:sz w:val="18"/>
      <w:szCs w:val="18"/>
    </w:rPr>
  </w:style>
  <w:style w:type="paragraph" w:customStyle="1" w:styleId="22">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12</Pages>
  <Words>902</Words>
  <Characters>5143</Characters>
  <Lines>42</Lines>
  <Paragraphs>12</Paragraphs>
  <TotalTime>5</TotalTime>
  <ScaleCrop>false</ScaleCrop>
  <LinksUpToDate>false</LinksUpToDate>
  <CharactersWithSpaces>6033</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2024-11-02T09:15:00Z</dcterms:created>
  <dc:creator>Administrator</dc:creator>
  <cp:lastModifiedBy>nyncbuser</cp:lastModifiedBy>
  <cp:lastPrinted>2021-12-16T06:45:00Z</cp:lastPrinted>
  <dcterms:modified xsi:type="dcterms:W3CDTF">2024-11-06T12:21:09Z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0B0290E9BD5E4D549F80411D270A09EB_12</vt:lpwstr>
  </property>
</Properties>
</file>