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napToGrid w:val="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饲料工业标准制</w:t>
      </w:r>
      <w:r>
        <w:rPr>
          <w:rFonts w:hint="eastAsia" w:eastAsia="仿宋_GB2312"/>
          <w:b/>
          <w:sz w:val="32"/>
          <w:szCs w:val="32"/>
          <w:lang w:eastAsia="zh-CN"/>
        </w:rPr>
        <w:t>定</w:t>
      </w:r>
      <w:r>
        <w:rPr>
          <w:rFonts w:hint="eastAsia" w:eastAsia="仿宋_GB2312"/>
          <w:b/>
          <w:sz w:val="32"/>
          <w:szCs w:val="32"/>
        </w:rPr>
        <w:t>项目建议表</w:t>
      </w:r>
    </w:p>
    <w:tbl>
      <w:tblPr>
        <w:tblStyle w:val="7"/>
        <w:tblpPr w:leftFromText="180" w:rightFromText="180" w:vertAnchor="text" w:horzAnchor="margin" w:tblpXSpec="center" w:tblpY="297"/>
        <w:tblOverlap w:val="never"/>
        <w:tblW w:w="15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763"/>
        <w:gridCol w:w="1380"/>
        <w:gridCol w:w="2985"/>
        <w:gridCol w:w="4140"/>
        <w:gridCol w:w="193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eastAsia="黑体"/>
                <w:kern w:val="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项目类别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必要性和可行性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主要技术要点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项目建议单位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bookmarkStart w:id="0" w:name="OLE_LINK5"/>
            <w:r>
              <w:rPr>
                <w:rFonts w:hint="eastAsia" w:eastAsia="黑体"/>
                <w:kern w:val="0"/>
                <w:sz w:val="24"/>
                <w:lang w:eastAsia="zh-CN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联系人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姓名、</w:t>
            </w:r>
            <w:bookmarkEnd w:id="0"/>
            <w:r>
              <w:rPr>
                <w:rFonts w:hint="eastAsia" w:eastAsia="黑体"/>
                <w:kern w:val="0"/>
                <w:sz w:val="24"/>
                <w:lang w:eastAsia="zh-CN"/>
              </w:rPr>
              <w:t>电话和邮箱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2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若属系列标准，请参照如下示例，如：《饲料原料 大豆饼》；《饲料添加剂 第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部分：酶制剂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木聚糖酶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》；《水产配合饲料 第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部分：斑节对虾配合饲料》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国家标准/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行业标准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立项必要性包括：经济社会和产业发展需求；相关法律法规、政策规划要求；实施后重大经济、社会、生态效益分析等。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项目可行性包括：产业发展情况；有关技术的成熟度和经济性分析；已经具备的研究基础和条件等。</w:t>
            </w:r>
          </w:p>
        </w:tc>
        <w:tc>
          <w:tcPr>
            <w:tcW w:w="4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8"/>
                <w:lang w:eastAsia="zh-CN"/>
              </w:rPr>
              <w:t>包括适用范围和主要技术内容等。为便于立项论证，建议尽量细化。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8"/>
                <w:lang w:eastAsia="zh-CN"/>
              </w:rPr>
              <w:t>包括所有拟参与单位（需备注第一承担单位）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2763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4140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5" w:type="dxa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913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2763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4140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5" w:type="dxa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913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仿宋"/>
                <w:kern w:val="0"/>
                <w:sz w:val="24"/>
              </w:rPr>
              <w:t>…</w:t>
            </w:r>
          </w:p>
        </w:tc>
        <w:tc>
          <w:tcPr>
            <w:tcW w:w="2763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4140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5" w:type="dxa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913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80" w:lineRule="exact"/>
        <w:rPr>
          <w:rFonts w:hint="eastAsia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1B"/>
    <w:rsid w:val="00011880"/>
    <w:rsid w:val="00107CDC"/>
    <w:rsid w:val="001C0892"/>
    <w:rsid w:val="002E4E20"/>
    <w:rsid w:val="00460A8C"/>
    <w:rsid w:val="00466778"/>
    <w:rsid w:val="00483E57"/>
    <w:rsid w:val="00485193"/>
    <w:rsid w:val="004970FA"/>
    <w:rsid w:val="004A1915"/>
    <w:rsid w:val="004A239A"/>
    <w:rsid w:val="005A7AD8"/>
    <w:rsid w:val="006C77CA"/>
    <w:rsid w:val="00735F13"/>
    <w:rsid w:val="00785E2D"/>
    <w:rsid w:val="007B363F"/>
    <w:rsid w:val="008D3DAD"/>
    <w:rsid w:val="00914337"/>
    <w:rsid w:val="00975FB7"/>
    <w:rsid w:val="009B4F02"/>
    <w:rsid w:val="00A00847"/>
    <w:rsid w:val="00A60893"/>
    <w:rsid w:val="00AD6C75"/>
    <w:rsid w:val="00B31A10"/>
    <w:rsid w:val="00B721AD"/>
    <w:rsid w:val="00BE311B"/>
    <w:rsid w:val="00C06C2C"/>
    <w:rsid w:val="00D9690D"/>
    <w:rsid w:val="00DE20A3"/>
    <w:rsid w:val="00E8596C"/>
    <w:rsid w:val="00F676EB"/>
    <w:rsid w:val="00F96B17"/>
    <w:rsid w:val="00FD1D8B"/>
    <w:rsid w:val="00FE005F"/>
    <w:rsid w:val="1DE17D90"/>
    <w:rsid w:val="1FAB6D8A"/>
    <w:rsid w:val="24C742F9"/>
    <w:rsid w:val="3BDE1BB7"/>
    <w:rsid w:val="3F64914B"/>
    <w:rsid w:val="4F7F6294"/>
    <w:rsid w:val="5A7F47F6"/>
    <w:rsid w:val="6AAA9D21"/>
    <w:rsid w:val="6AE725F9"/>
    <w:rsid w:val="6F769714"/>
    <w:rsid w:val="6FFD7B12"/>
    <w:rsid w:val="75734801"/>
    <w:rsid w:val="79315D44"/>
    <w:rsid w:val="ADDCD0EA"/>
    <w:rsid w:val="B9F4FE9C"/>
    <w:rsid w:val="BDF7301A"/>
    <w:rsid w:val="CFEFCE98"/>
    <w:rsid w:val="DFECD773"/>
    <w:rsid w:val="F3DB1F3A"/>
    <w:rsid w:val="F9FDFA03"/>
    <w:rsid w:val="FF9EB5A3"/>
    <w:rsid w:val="FFA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ubtle Reference"/>
    <w:basedOn w:val="8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414</Words>
  <Characters>2365</Characters>
  <Lines>19</Lines>
  <Paragraphs>5</Paragraphs>
  <TotalTime>7</TotalTime>
  <ScaleCrop>false</ScaleCrop>
  <LinksUpToDate>false</LinksUpToDate>
  <CharactersWithSpaces>2774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2021-11-07T00:50:00Z</dcterms:created>
  <dc:creator>Lenovo</dc:creator>
  <cp:lastModifiedBy>nyncbuser</cp:lastModifiedBy>
  <cp:lastPrinted>2023-12-09T03:55:00Z</cp:lastPrinted>
  <dcterms:modified xsi:type="dcterms:W3CDTF">2023-12-20T10:30:58Z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