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表5  省级畜禽和蜂资源普查信息汇总表</w:t>
      </w:r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cs="Times New Roman"/>
          <w:sz w:val="28"/>
          <w:szCs w:val="28"/>
        </w:rPr>
        <w:t>省（区、市）                       填报人签字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</w:p>
    <w:p>
      <w:pPr>
        <w:adjustRightInd w:val="0"/>
        <w:snapToGrid w:val="0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tbl>
      <w:tblPr>
        <w:tblStyle w:val="1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17"/>
        <w:gridCol w:w="1065"/>
        <w:gridCol w:w="1056"/>
        <w:gridCol w:w="1110"/>
        <w:gridCol w:w="866"/>
        <w:gridCol w:w="1104"/>
        <w:gridCol w:w="2506"/>
        <w:gridCol w:w="2506"/>
        <w:gridCol w:w="79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37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37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39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6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县域内分布区域</w:t>
            </w:r>
          </w:p>
        </w:tc>
        <w:tc>
          <w:tcPr>
            <w:tcW w:w="88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  <w:tc>
          <w:tcPr>
            <w:tcW w:w="27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</w:t>
            </w:r>
          </w:p>
        </w:tc>
        <w:tc>
          <w:tcPr>
            <w:tcW w:w="60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9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59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6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9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38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7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5" w:type="pct"/>
            <w:vMerge w:val="continue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373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9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88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2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373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9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88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2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 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373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9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884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05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所属目录从《国家畜禽遗传资源目录》中选择（见附录），蜂所属目录填蜂；2.群体数量均为某一品种纯种的数量，对于猪、羊、牛等畜种还需填报群体中种公畜和能繁母畜数量，单位为头、只、羽、箱，蜂直接填箱数，不分公母；3.本表只登记传统畜禽、特种畜禽和蜂的具体品种，蚕另行统计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4.如该品种存在不同的类群，如海南猪有临高猪、屯昌猪、文昌猪和定安猪四个类群，则在“品种类群”中标注；5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Cs w:val="21"/>
        </w:rPr>
        <w:t>.保种场保护区选“有”或“无”，选“有”则需在保种场保护区级别里选择相应的级别。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D4D005F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9905E65"/>
    <w:rsid w:val="2A4E51FD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404D0244"/>
    <w:rsid w:val="407E0571"/>
    <w:rsid w:val="40FA74D8"/>
    <w:rsid w:val="41FC1603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493232A"/>
    <w:rsid w:val="75025677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